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712" w:rsidRPr="00F30E9B" w:rsidRDefault="00950132" w:rsidP="00F30E9B">
      <w:pPr>
        <w:pStyle w:val="ad"/>
        <w:widowControl w:val="0"/>
        <w:spacing w:line="360" w:lineRule="auto"/>
        <w:rPr>
          <w:rFonts w:ascii="黑体" w:eastAsia="黑体" w:hAnsi="黑体"/>
          <w:sz w:val="36"/>
          <w:szCs w:val="36"/>
        </w:rPr>
      </w:pPr>
      <w:r w:rsidRPr="00F30E9B">
        <w:rPr>
          <w:rFonts w:ascii="黑体" w:eastAsia="黑体" w:hAnsi="黑体" w:hint="eastAsia"/>
          <w:sz w:val="36"/>
          <w:szCs w:val="36"/>
        </w:rPr>
        <w:t>山西安泰集团股份有限公司</w:t>
      </w:r>
    </w:p>
    <w:p w:rsidR="00061712" w:rsidRPr="00F30E9B" w:rsidRDefault="00950132" w:rsidP="00F30E9B">
      <w:pPr>
        <w:pStyle w:val="ad"/>
        <w:widowControl w:val="0"/>
        <w:spacing w:line="360" w:lineRule="auto"/>
        <w:rPr>
          <w:rFonts w:ascii="黑体" w:eastAsia="黑体" w:hAnsi="黑体"/>
          <w:sz w:val="36"/>
          <w:szCs w:val="36"/>
        </w:rPr>
      </w:pPr>
      <w:r w:rsidRPr="00F30E9B">
        <w:rPr>
          <w:rFonts w:ascii="黑体" w:eastAsia="黑体" w:hAnsi="黑体" w:hint="eastAsia"/>
          <w:sz w:val="36"/>
          <w:szCs w:val="36"/>
        </w:rPr>
        <w:t>内幕信息知情人登记制度</w:t>
      </w:r>
    </w:p>
    <w:p w:rsidR="00061712" w:rsidRDefault="00950132" w:rsidP="00F30E9B">
      <w:pPr>
        <w:pStyle w:val="1"/>
        <w:spacing w:before="163"/>
      </w:pPr>
      <w:r>
        <w:rPr>
          <w:rFonts w:hint="eastAsia"/>
        </w:rPr>
        <w:t>第一章 总则</w:t>
      </w:r>
    </w:p>
    <w:p w:rsidR="00061712" w:rsidRDefault="00950132" w:rsidP="00F30E9B">
      <w:pPr>
        <w:widowControl w:val="0"/>
        <w:spacing w:before="81" w:after="81"/>
      </w:pPr>
      <w:r>
        <w:rPr>
          <w:rFonts w:hint="eastAsia"/>
          <w:b/>
        </w:rPr>
        <w:t>第一条</w:t>
      </w:r>
      <w:r>
        <w:rPr>
          <w:rFonts w:hint="eastAsia"/>
        </w:rPr>
        <w:t xml:space="preserve"> </w:t>
      </w:r>
      <w:r>
        <w:rPr>
          <w:rFonts w:hint="eastAsia"/>
        </w:rPr>
        <w:t>为进一步规范山西安泰集团股份有限公司（以下简称“公司”）内幕信息管理行为，加强内幕信息保密工作，建立内幕信息知情人档案资料，维护信息披露的公平原则，保护广大投资者的合法权益，根据《中华人民共和国公司法》（以下简称“《公司法》”）《中华人民共和国证券法》（以下简称“《证券法》”）、《上市公司信息披露管理办法》《上海证券交易所股票上市规则》《上海证券交易所上市公司自律监管指引第</w:t>
      </w:r>
      <w:r>
        <w:rPr>
          <w:rFonts w:hint="eastAsia"/>
        </w:rPr>
        <w:t>2</w:t>
      </w:r>
      <w:r>
        <w:rPr>
          <w:rFonts w:hint="eastAsia"/>
        </w:rPr>
        <w:t>号——信息披露事务管理》《上市公司监管指引第</w:t>
      </w:r>
      <w:r>
        <w:rPr>
          <w:rFonts w:hint="eastAsia"/>
        </w:rPr>
        <w:t xml:space="preserve"> 5 </w:t>
      </w:r>
      <w:r>
        <w:rPr>
          <w:rFonts w:hint="eastAsia"/>
        </w:rPr>
        <w:t>号——上市公司内幕信息知情人登记管理制度》等相关法律法规和规范性文件以及《公司章程》的有关规定，结合公司实际情况，制定本制度。</w:t>
      </w:r>
    </w:p>
    <w:p w:rsidR="00061712" w:rsidRDefault="00950132" w:rsidP="00F30E9B">
      <w:pPr>
        <w:widowControl w:val="0"/>
        <w:spacing w:before="81" w:after="81"/>
      </w:pPr>
      <w:r>
        <w:rPr>
          <w:rFonts w:hint="eastAsia"/>
          <w:b/>
        </w:rPr>
        <w:t>第二条</w:t>
      </w:r>
      <w:r>
        <w:rPr>
          <w:rFonts w:hint="eastAsia"/>
        </w:rPr>
        <w:t xml:space="preserve"> </w:t>
      </w:r>
      <w:r>
        <w:rPr>
          <w:rFonts w:hint="eastAsia"/>
        </w:rPr>
        <w:t>本制度的适用范围包括公司以及公司下属的子公司（包括公司直接或间接控股</w:t>
      </w:r>
      <w:r>
        <w:rPr>
          <w:rFonts w:hint="eastAsia"/>
        </w:rPr>
        <w:t>50%</w:t>
      </w:r>
      <w:r>
        <w:rPr>
          <w:rFonts w:hint="eastAsia"/>
        </w:rPr>
        <w:t>以上的子公司以及其他纳入公司合并会计报表的子公司）、分公司以及公司能够对其实施重大影响的参股公司和本制度所规定的其他内幕信息知情人。</w:t>
      </w:r>
    </w:p>
    <w:p w:rsidR="00061712" w:rsidRDefault="00950132" w:rsidP="00F30E9B">
      <w:pPr>
        <w:widowControl w:val="0"/>
        <w:spacing w:before="81" w:after="81"/>
      </w:pPr>
      <w:r>
        <w:rPr>
          <w:rFonts w:hint="eastAsia"/>
          <w:b/>
        </w:rPr>
        <w:t>第三条</w:t>
      </w:r>
      <w:r>
        <w:rPr>
          <w:rFonts w:hint="eastAsia"/>
        </w:rPr>
        <w:t xml:space="preserve"> </w:t>
      </w:r>
      <w:r>
        <w:rPr>
          <w:rFonts w:hint="eastAsia"/>
        </w:rPr>
        <w:t>董事会是公司内幕信息的管理机构，总体负责内幕信息的管理工作，具体工作由董事会秘书负责组织实施。</w:t>
      </w:r>
    </w:p>
    <w:p w:rsidR="00061712" w:rsidRDefault="00950132" w:rsidP="00F30E9B">
      <w:pPr>
        <w:widowControl w:val="0"/>
        <w:spacing w:before="81" w:after="81"/>
      </w:pPr>
      <w:r>
        <w:rPr>
          <w:rFonts w:hint="eastAsia"/>
          <w:b/>
        </w:rPr>
        <w:t>第四条</w:t>
      </w:r>
      <w:r>
        <w:rPr>
          <w:rFonts w:hint="eastAsia"/>
        </w:rPr>
        <w:t xml:space="preserve"> </w:t>
      </w:r>
      <w:r>
        <w:rPr>
          <w:rFonts w:hint="eastAsia"/>
        </w:rPr>
        <w:t>公司证券管理部门是信息披露管理、投资者关系管理、内幕信息登记的常设办事机构，协助董事会秘书做好内幕信息保密登记及管理工作，并统一负责证券监管机构、证券交易所、证券公司等机构以及股东、新闻媒体的接待、咨询（询问）及服务工作。</w:t>
      </w:r>
    </w:p>
    <w:p w:rsidR="00061712" w:rsidRDefault="00950132" w:rsidP="00F30E9B">
      <w:pPr>
        <w:widowControl w:val="0"/>
        <w:spacing w:before="81" w:after="81"/>
      </w:pPr>
      <w:r>
        <w:rPr>
          <w:rFonts w:hint="eastAsia"/>
          <w:b/>
        </w:rPr>
        <w:t>第五条</w:t>
      </w:r>
      <w:r>
        <w:rPr>
          <w:rFonts w:hint="eastAsia"/>
        </w:rPr>
        <w:t xml:space="preserve"> </w:t>
      </w:r>
      <w:r>
        <w:rPr>
          <w:rFonts w:hint="eastAsia"/>
        </w:rPr>
        <w:t>未经董事会批准，公司任何部门和个人不得向任何第三方泄露、报道、传送有关公司内幕信息及拟披露信息的内容。对外报道、传送的各类文件等涉及内幕信息及拟披露信息的内容的资料，须按《公司章程》等内部治理文件之规定及</w:t>
      </w:r>
      <w:r>
        <w:rPr>
          <w:rFonts w:hint="eastAsia"/>
        </w:rPr>
        <w:t>/</w:t>
      </w:r>
      <w:r>
        <w:rPr>
          <w:rFonts w:hint="eastAsia"/>
        </w:rPr>
        <w:t>或</w:t>
      </w:r>
      <w:proofErr w:type="gramStart"/>
      <w:r>
        <w:rPr>
          <w:rFonts w:hint="eastAsia"/>
        </w:rPr>
        <w:t>视重要</w:t>
      </w:r>
      <w:proofErr w:type="gramEnd"/>
      <w:r>
        <w:rPr>
          <w:rFonts w:hint="eastAsia"/>
        </w:rPr>
        <w:t>程度呈报董事会或董事会秘书审核之后，方可对外报道或传送。</w:t>
      </w:r>
    </w:p>
    <w:p w:rsidR="00061712" w:rsidRDefault="00950132" w:rsidP="00F30E9B">
      <w:pPr>
        <w:widowControl w:val="0"/>
        <w:spacing w:before="81" w:after="81"/>
      </w:pPr>
      <w:r>
        <w:rPr>
          <w:rFonts w:hint="eastAsia"/>
          <w:b/>
        </w:rPr>
        <w:t>第六条</w:t>
      </w:r>
      <w:r>
        <w:rPr>
          <w:rFonts w:hint="eastAsia"/>
        </w:rPr>
        <w:t xml:space="preserve"> </w:t>
      </w:r>
      <w:r>
        <w:rPr>
          <w:rFonts w:hint="eastAsia"/>
        </w:rPr>
        <w:t>公司董事及高级管理人员以及公司各部门、各子公司及分公司均应做好内幕信息的保密工作，不得泄露内幕信息，不得进行内幕交易或配合他人操纵证券</w:t>
      </w:r>
      <w:r>
        <w:rPr>
          <w:rFonts w:hint="eastAsia"/>
        </w:rPr>
        <w:lastRenderedPageBreak/>
        <w:t>交易价格。</w:t>
      </w:r>
    </w:p>
    <w:p w:rsidR="00061712" w:rsidRDefault="00950132" w:rsidP="00F30E9B">
      <w:pPr>
        <w:widowControl w:val="0"/>
        <w:spacing w:before="81" w:after="81"/>
      </w:pPr>
      <w:r>
        <w:rPr>
          <w:rFonts w:hint="eastAsia"/>
          <w:b/>
        </w:rPr>
        <w:t>第七条</w:t>
      </w:r>
      <w:r>
        <w:rPr>
          <w:rFonts w:hint="eastAsia"/>
        </w:rPr>
        <w:t xml:space="preserve"> </w:t>
      </w:r>
      <w:r>
        <w:rPr>
          <w:rFonts w:hint="eastAsia"/>
        </w:rPr>
        <w:t>公司向内幕信息知情人员提供非公开信息，应严格遵循本制度的相关规定进行登记。</w:t>
      </w:r>
    </w:p>
    <w:p w:rsidR="00061712" w:rsidRDefault="00950132" w:rsidP="00F30E9B">
      <w:pPr>
        <w:pStyle w:val="1"/>
        <w:spacing w:before="163"/>
      </w:pPr>
      <w:r>
        <w:rPr>
          <w:rFonts w:hint="eastAsia"/>
        </w:rPr>
        <w:t>第二章 内幕信息及内幕信息知情人</w:t>
      </w:r>
    </w:p>
    <w:p w:rsidR="00061712" w:rsidRDefault="00950132" w:rsidP="00F30E9B">
      <w:pPr>
        <w:widowControl w:val="0"/>
        <w:spacing w:before="81" w:after="81"/>
      </w:pPr>
      <w:r>
        <w:rPr>
          <w:rFonts w:hint="eastAsia"/>
          <w:b/>
        </w:rPr>
        <w:t>第八条</w:t>
      </w:r>
      <w:r>
        <w:rPr>
          <w:rFonts w:hint="eastAsia"/>
        </w:rPr>
        <w:t xml:space="preserve"> </w:t>
      </w:r>
      <w:r>
        <w:rPr>
          <w:rFonts w:hint="eastAsia"/>
        </w:rPr>
        <w:t>本制度所称内幕信息是指根据《证券法》以及中国证监会和上海证券交易所相关规定，涉及公司的经营、财务或者对公司股票及其衍生品种交易价格有重大影响的尚未公开的信息。尚未公开是指公司尚未在证券交易所网站和符合中国证监会规定条件的媒体发布的事项，该等内幕信息包括但不限于：</w:t>
      </w:r>
    </w:p>
    <w:p w:rsidR="00061712" w:rsidRDefault="00950132" w:rsidP="00F30E9B">
      <w:pPr>
        <w:widowControl w:val="0"/>
        <w:spacing w:before="81" w:after="81"/>
      </w:pPr>
      <w:r>
        <w:rPr>
          <w:rFonts w:hint="eastAsia"/>
        </w:rPr>
        <w:t>（一）公司的经营方针和经营范围的重大变化；</w:t>
      </w:r>
    </w:p>
    <w:p w:rsidR="00061712" w:rsidRDefault="00950132" w:rsidP="00F30E9B">
      <w:pPr>
        <w:widowControl w:val="0"/>
        <w:spacing w:before="81" w:after="81"/>
      </w:pPr>
      <w:r>
        <w:rPr>
          <w:rFonts w:hint="eastAsia"/>
        </w:rPr>
        <w:t>（二）公司的重大投资行为，公司在一年内购买、出售重大资产超过公司资产总额百分之三十，或者公司营业用主要资产的抵押、质押、出售或者报废一次超过该资产的百分之三十；</w:t>
      </w:r>
    </w:p>
    <w:p w:rsidR="00061712" w:rsidRDefault="00950132" w:rsidP="00F30E9B">
      <w:pPr>
        <w:widowControl w:val="0"/>
        <w:spacing w:before="81" w:after="81"/>
      </w:pPr>
      <w:r>
        <w:rPr>
          <w:rFonts w:hint="eastAsia"/>
        </w:rPr>
        <w:t>（三）公司订立重要合同、提供重大担保或者从事关联交易，可能对公司的资产、负债、权益和经营成果产生重要影响；</w:t>
      </w:r>
    </w:p>
    <w:p w:rsidR="00061712" w:rsidRDefault="00950132" w:rsidP="00F30E9B">
      <w:pPr>
        <w:widowControl w:val="0"/>
        <w:spacing w:before="81" w:after="81"/>
      </w:pPr>
      <w:r>
        <w:rPr>
          <w:rFonts w:hint="eastAsia"/>
        </w:rPr>
        <w:t>（四）公司发生重大债务和未能清偿到期重大债务的违约情况；</w:t>
      </w:r>
    </w:p>
    <w:p w:rsidR="00061712" w:rsidRDefault="00950132" w:rsidP="00F30E9B">
      <w:pPr>
        <w:widowControl w:val="0"/>
        <w:spacing w:before="81" w:after="81"/>
      </w:pPr>
      <w:r>
        <w:rPr>
          <w:rFonts w:hint="eastAsia"/>
        </w:rPr>
        <w:t>（五）公司发生重大亏损或者重大损失；</w:t>
      </w:r>
    </w:p>
    <w:p w:rsidR="00061712" w:rsidRDefault="00950132" w:rsidP="00F30E9B">
      <w:pPr>
        <w:widowControl w:val="0"/>
        <w:spacing w:before="81" w:after="81"/>
      </w:pPr>
      <w:r>
        <w:rPr>
          <w:rFonts w:hint="eastAsia"/>
        </w:rPr>
        <w:t>（六）公司生产经营的外部条件发生的重大变化；</w:t>
      </w:r>
    </w:p>
    <w:p w:rsidR="00061712" w:rsidRDefault="00950132" w:rsidP="00F30E9B">
      <w:pPr>
        <w:widowControl w:val="0"/>
        <w:spacing w:before="81" w:after="81"/>
      </w:pPr>
      <w:r>
        <w:rPr>
          <w:rFonts w:hint="eastAsia"/>
        </w:rPr>
        <w:t>（七）公司的董事或者经理发生变动，董事长或者经理无法履行职责；</w:t>
      </w:r>
    </w:p>
    <w:p w:rsidR="00061712" w:rsidRDefault="00950132" w:rsidP="00F30E9B">
      <w:pPr>
        <w:widowControl w:val="0"/>
        <w:spacing w:before="81" w:after="81"/>
      </w:pPr>
      <w:r>
        <w:rPr>
          <w:rFonts w:hint="eastAsia"/>
        </w:rPr>
        <w:t>（八）持有公司百分之五以上股份的股东或者实际控制人持有股份或者控制公司的情况发生较大变化，公司的实际控制人及其控制的其他企业从事与公司相同或者</w:t>
      </w:r>
      <w:proofErr w:type="gramStart"/>
      <w:r>
        <w:rPr>
          <w:rFonts w:hint="eastAsia"/>
        </w:rPr>
        <w:t>相似业务</w:t>
      </w:r>
      <w:proofErr w:type="gramEnd"/>
      <w:r>
        <w:rPr>
          <w:rFonts w:hint="eastAsia"/>
        </w:rPr>
        <w:t>的情况发生较大变化；</w:t>
      </w:r>
    </w:p>
    <w:p w:rsidR="00061712" w:rsidRDefault="00950132" w:rsidP="00F30E9B">
      <w:pPr>
        <w:widowControl w:val="0"/>
        <w:spacing w:before="81" w:after="81"/>
      </w:pPr>
      <w:r>
        <w:rPr>
          <w:rFonts w:hint="eastAsia"/>
        </w:rPr>
        <w:t>（九）公司分配股利、增资的计划，公司股权结构的重要变化，公司减资、合并、分立、解散及申请破产的决定，或者依法进入破产程序、被责令关闭；</w:t>
      </w:r>
    </w:p>
    <w:p w:rsidR="00061712" w:rsidRDefault="00950132" w:rsidP="00F30E9B">
      <w:pPr>
        <w:widowControl w:val="0"/>
        <w:spacing w:before="81" w:after="81"/>
      </w:pPr>
      <w:r>
        <w:rPr>
          <w:rFonts w:hint="eastAsia"/>
        </w:rPr>
        <w:t>（十）涉及公司的重大诉讼、仲裁，股东会、董事会决议被依法撤销或者宣告无效；</w:t>
      </w:r>
    </w:p>
    <w:p w:rsidR="00061712" w:rsidRDefault="00950132" w:rsidP="00F30E9B">
      <w:pPr>
        <w:widowControl w:val="0"/>
        <w:spacing w:before="81" w:after="81"/>
      </w:pPr>
      <w:r>
        <w:rPr>
          <w:rFonts w:hint="eastAsia"/>
        </w:rPr>
        <w:t>（十一）公司涉嫌犯罪被依法立案调查，公司的控股股东、实际控制人、董事、</w:t>
      </w:r>
      <w:r>
        <w:rPr>
          <w:rFonts w:hint="eastAsia"/>
        </w:rPr>
        <w:lastRenderedPageBreak/>
        <w:t>高级管理人员涉嫌犯罪被依法采取强制措施；</w:t>
      </w:r>
    </w:p>
    <w:p w:rsidR="00061712" w:rsidRDefault="00950132" w:rsidP="00F30E9B">
      <w:pPr>
        <w:widowControl w:val="0"/>
        <w:spacing w:before="81" w:after="81"/>
      </w:pPr>
      <w:r>
        <w:rPr>
          <w:rFonts w:hint="eastAsia"/>
        </w:rPr>
        <w:t>（十二）公司股权结构或者生产经营状况发生重大变化；</w:t>
      </w:r>
    </w:p>
    <w:p w:rsidR="00061712" w:rsidRDefault="00950132" w:rsidP="00F30E9B">
      <w:pPr>
        <w:widowControl w:val="0"/>
        <w:spacing w:before="81" w:after="81"/>
      </w:pPr>
      <w:r>
        <w:rPr>
          <w:rFonts w:hint="eastAsia"/>
        </w:rPr>
        <w:t>（十三）公司债券信用评级发生变化；</w:t>
      </w:r>
    </w:p>
    <w:p w:rsidR="00061712" w:rsidRDefault="00950132" w:rsidP="00F30E9B">
      <w:pPr>
        <w:widowControl w:val="0"/>
        <w:spacing w:before="81" w:after="81"/>
      </w:pPr>
      <w:r>
        <w:rPr>
          <w:rFonts w:hint="eastAsia"/>
        </w:rPr>
        <w:t>（十四）公司重大资产抵押、质押、出售、转让、报废；</w:t>
      </w:r>
    </w:p>
    <w:p w:rsidR="00061712" w:rsidRDefault="00950132" w:rsidP="00F30E9B">
      <w:pPr>
        <w:widowControl w:val="0"/>
        <w:spacing w:before="81" w:after="81"/>
      </w:pPr>
      <w:r>
        <w:rPr>
          <w:rFonts w:hint="eastAsia"/>
        </w:rPr>
        <w:t>（十五）公司发生未能清偿到期债务的情况；</w:t>
      </w:r>
    </w:p>
    <w:p w:rsidR="00061712" w:rsidRDefault="00950132" w:rsidP="00F30E9B">
      <w:pPr>
        <w:widowControl w:val="0"/>
        <w:spacing w:before="81" w:after="81"/>
      </w:pPr>
      <w:r>
        <w:rPr>
          <w:rFonts w:hint="eastAsia"/>
        </w:rPr>
        <w:t>（十六）公司新增借款或者对外提供担保超过上年末净资产的百分之二十；</w:t>
      </w:r>
    </w:p>
    <w:p w:rsidR="00061712" w:rsidRDefault="00950132" w:rsidP="00F30E9B">
      <w:pPr>
        <w:widowControl w:val="0"/>
        <w:spacing w:before="81" w:after="81"/>
      </w:pPr>
      <w:r>
        <w:rPr>
          <w:rFonts w:hint="eastAsia"/>
        </w:rPr>
        <w:t>（十七）公司放弃债权或者财产超过上年末净资产的百分之十；</w:t>
      </w:r>
    </w:p>
    <w:p w:rsidR="00061712" w:rsidRDefault="00950132" w:rsidP="00F30E9B">
      <w:pPr>
        <w:widowControl w:val="0"/>
        <w:spacing w:before="81" w:after="81"/>
      </w:pPr>
      <w:r>
        <w:rPr>
          <w:rFonts w:hint="eastAsia"/>
        </w:rPr>
        <w:t>（十八）国务院证券监督管理机构规定的其他事项。</w:t>
      </w:r>
    </w:p>
    <w:p w:rsidR="00061712" w:rsidRDefault="00950132" w:rsidP="00F30E9B">
      <w:pPr>
        <w:widowControl w:val="0"/>
        <w:spacing w:before="81" w:after="81"/>
      </w:pPr>
      <w:r>
        <w:rPr>
          <w:rFonts w:hint="eastAsia"/>
          <w:b/>
        </w:rPr>
        <w:t>第九条</w:t>
      </w:r>
      <w:r>
        <w:rPr>
          <w:rFonts w:hint="eastAsia"/>
        </w:rPr>
        <w:t xml:space="preserve"> </w:t>
      </w:r>
      <w:r>
        <w:rPr>
          <w:rFonts w:hint="eastAsia"/>
        </w:rPr>
        <w:t>内幕信息知情人是指《证券法》第五十一条规定的有关人员，具体包括：</w:t>
      </w:r>
      <w:r>
        <w:rPr>
          <w:rFonts w:hint="eastAsia"/>
        </w:rPr>
        <w:t xml:space="preserve"> </w:t>
      </w:r>
    </w:p>
    <w:p w:rsidR="00061712" w:rsidRDefault="00950132" w:rsidP="00F30E9B">
      <w:pPr>
        <w:widowControl w:val="0"/>
        <w:spacing w:before="81" w:after="81"/>
      </w:pPr>
      <w:r>
        <w:rPr>
          <w:rFonts w:hint="eastAsia"/>
        </w:rPr>
        <w:t>（一）公司及其董事、高级管理人员；</w:t>
      </w:r>
      <w:r>
        <w:rPr>
          <w:rFonts w:hint="eastAsia"/>
        </w:rPr>
        <w:t xml:space="preserve"> </w:t>
      </w:r>
    </w:p>
    <w:p w:rsidR="00061712" w:rsidRDefault="00950132" w:rsidP="00F30E9B">
      <w:pPr>
        <w:widowControl w:val="0"/>
        <w:spacing w:before="81" w:after="81"/>
      </w:pPr>
      <w:r>
        <w:rPr>
          <w:rFonts w:hint="eastAsia"/>
        </w:rPr>
        <w:t>（二）持有公司百分之五以上股份的股东及其董事、高级管理人员，公司的实际控制人及其董事、高级管理人员；</w:t>
      </w:r>
    </w:p>
    <w:p w:rsidR="00061712" w:rsidRDefault="00950132" w:rsidP="00F30E9B">
      <w:pPr>
        <w:widowControl w:val="0"/>
        <w:spacing w:before="81" w:after="81"/>
      </w:pPr>
      <w:r>
        <w:rPr>
          <w:rFonts w:hint="eastAsia"/>
        </w:rPr>
        <w:t>（三）公司控股或者实际控制的公司及其董事、高级管理人员；</w:t>
      </w:r>
    </w:p>
    <w:p w:rsidR="00061712" w:rsidRDefault="00950132" w:rsidP="00F30E9B">
      <w:pPr>
        <w:widowControl w:val="0"/>
        <w:spacing w:before="81" w:after="81"/>
      </w:pPr>
      <w:r>
        <w:rPr>
          <w:rFonts w:hint="eastAsia"/>
        </w:rPr>
        <w:t>（四）由于所任公司职务或者因与公司业务往来可以获取公司有关内幕信息的人员；</w:t>
      </w:r>
    </w:p>
    <w:p w:rsidR="00061712" w:rsidRDefault="00950132" w:rsidP="00F30E9B">
      <w:pPr>
        <w:widowControl w:val="0"/>
        <w:spacing w:before="81" w:after="81"/>
      </w:pPr>
      <w:r>
        <w:rPr>
          <w:rFonts w:hint="eastAsia"/>
        </w:rPr>
        <w:t>（五）公司收购人或者重大资产交易方及其控股股东、实际控制人、董事和高级管理人员；</w:t>
      </w:r>
    </w:p>
    <w:p w:rsidR="00061712" w:rsidRDefault="00950132" w:rsidP="00F30E9B">
      <w:pPr>
        <w:widowControl w:val="0"/>
        <w:spacing w:before="81" w:after="81"/>
      </w:pPr>
      <w:r>
        <w:rPr>
          <w:rFonts w:hint="eastAsia"/>
        </w:rPr>
        <w:t>（五）因职务、工作可以获取内幕信息的证券交易场所、证券公司、证券登记结算机构、证券服务机构的有关人员；</w:t>
      </w:r>
      <w:r>
        <w:rPr>
          <w:rFonts w:hint="eastAsia"/>
        </w:rPr>
        <w:t xml:space="preserve"> </w:t>
      </w:r>
    </w:p>
    <w:p w:rsidR="00061712" w:rsidRDefault="00950132" w:rsidP="00F30E9B">
      <w:pPr>
        <w:widowControl w:val="0"/>
        <w:spacing w:before="81" w:after="81"/>
      </w:pPr>
      <w:r>
        <w:rPr>
          <w:rFonts w:hint="eastAsia"/>
        </w:rPr>
        <w:t>（六）因职责、工作可以获取内幕信息的证券监督管理机构工作人员；</w:t>
      </w:r>
    </w:p>
    <w:p w:rsidR="00061712" w:rsidRDefault="00950132" w:rsidP="00F30E9B">
      <w:pPr>
        <w:widowControl w:val="0"/>
        <w:spacing w:before="81" w:after="81"/>
      </w:pPr>
      <w:r>
        <w:rPr>
          <w:rFonts w:hint="eastAsia"/>
        </w:rPr>
        <w:t>（七）因法定职责对证券的发行、交易或者对公司及其收购、重大资产交易进行管理可以获取内幕信息的有关主管部门、监管机构的工作人员；</w:t>
      </w:r>
    </w:p>
    <w:p w:rsidR="00061712" w:rsidRDefault="00950132" w:rsidP="00F30E9B">
      <w:pPr>
        <w:widowControl w:val="0"/>
        <w:spacing w:before="81" w:after="81"/>
      </w:pPr>
      <w:r>
        <w:rPr>
          <w:rFonts w:hint="eastAsia"/>
        </w:rPr>
        <w:t>（八）国务院证券监督管理机构规定的可以获取内幕信息的其他人员。</w:t>
      </w:r>
    </w:p>
    <w:p w:rsidR="00061712" w:rsidRDefault="00950132" w:rsidP="00F30E9B">
      <w:pPr>
        <w:pStyle w:val="1"/>
        <w:spacing w:before="163"/>
      </w:pPr>
      <w:r>
        <w:rPr>
          <w:rFonts w:hint="eastAsia"/>
        </w:rPr>
        <w:t>第三章 内幕信息知情人登记管理</w:t>
      </w:r>
    </w:p>
    <w:p w:rsidR="00061712" w:rsidRDefault="00950132" w:rsidP="00F30E9B">
      <w:pPr>
        <w:widowControl w:val="0"/>
        <w:spacing w:before="81" w:after="81"/>
      </w:pPr>
      <w:r>
        <w:rPr>
          <w:rFonts w:hint="eastAsia"/>
          <w:b/>
        </w:rPr>
        <w:t>第十条</w:t>
      </w:r>
      <w:r>
        <w:rPr>
          <w:rFonts w:hint="eastAsia"/>
        </w:rPr>
        <w:t xml:space="preserve"> </w:t>
      </w:r>
      <w:r>
        <w:rPr>
          <w:rFonts w:hint="eastAsia"/>
        </w:rPr>
        <w:t>在内幕信息依法公开披露前，公司应当按照规定填写公司内幕信息知情</w:t>
      </w:r>
      <w:r>
        <w:rPr>
          <w:rFonts w:hint="eastAsia"/>
        </w:rPr>
        <w:lastRenderedPageBreak/>
        <w:t>人档案（见附件一），及时记录商议筹划、论证咨询、合同订立等阶段及报告、传递、编制、决议、披露等环节的内幕信息知情人名单，及其知悉内幕信息的时间、地点、依据、方式、内容等信息。内幕信息知情人应当进行确认。</w:t>
      </w:r>
    </w:p>
    <w:p w:rsidR="00061712" w:rsidRDefault="00950132" w:rsidP="00F30E9B">
      <w:pPr>
        <w:widowControl w:val="0"/>
        <w:spacing w:before="81" w:after="81"/>
      </w:pPr>
      <w:r>
        <w:rPr>
          <w:rFonts w:hint="eastAsia"/>
          <w:b/>
        </w:rPr>
        <w:t>第十一条</w:t>
      </w:r>
      <w:r>
        <w:rPr>
          <w:rFonts w:hint="eastAsia"/>
        </w:rPr>
        <w:t xml:space="preserve"> </w:t>
      </w:r>
      <w:r>
        <w:rPr>
          <w:rFonts w:hint="eastAsia"/>
        </w:rPr>
        <w:t>公司董事会应当按照相关法律法规及本制度的要求及时登记和报送内幕信息知情人档案，并保证内幕信息知情人档案真实、准确和完整，董事长为主要责任人。董事会秘书负责办理公司内幕信息知情人的登记入档和报送事宜。董事长与董事会秘书应当对内幕信息知情人档案的真实、准确和完整签署书面确认意见。公司董事会审计委员会应当对内幕信息知情人登记管理制度实施情况进行监督。</w:t>
      </w:r>
    </w:p>
    <w:p w:rsidR="00061712" w:rsidRDefault="00950132" w:rsidP="00F30E9B">
      <w:pPr>
        <w:widowControl w:val="0"/>
        <w:spacing w:before="81" w:after="81"/>
      </w:pPr>
      <w:r>
        <w:rPr>
          <w:rFonts w:hint="eastAsia"/>
          <w:b/>
        </w:rPr>
        <w:t>第十二条</w:t>
      </w:r>
      <w:r>
        <w:rPr>
          <w:rFonts w:hint="eastAsia"/>
        </w:rPr>
        <w:t xml:space="preserve"> </w:t>
      </w:r>
      <w:r>
        <w:rPr>
          <w:rFonts w:hint="eastAsia"/>
        </w:rPr>
        <w:t>内幕信息知情人登记的内容包括但不限于内幕信息知情人的姓名或名称、身份证件号码或统一社会信用代码；所在单位、部门，职务或岗位（如有），联系电话，与公司的关系；知悉内幕信息的时间、地点、方式；内幕信息内容、内幕信息所处阶段、登记时间、登记人等。</w:t>
      </w:r>
    </w:p>
    <w:p w:rsidR="00061712" w:rsidRDefault="00950132" w:rsidP="00F30E9B">
      <w:pPr>
        <w:widowControl w:val="0"/>
        <w:spacing w:before="81" w:after="81"/>
      </w:pPr>
      <w:r>
        <w:rPr>
          <w:rFonts w:hint="eastAsia"/>
        </w:rPr>
        <w:t>前款规定的知悉内幕信息时间是指内幕信息知情人知悉或应当知悉内幕信息的第一时间。</w:t>
      </w:r>
    </w:p>
    <w:p w:rsidR="00061712" w:rsidRDefault="00950132" w:rsidP="00F30E9B">
      <w:pPr>
        <w:widowControl w:val="0"/>
        <w:spacing w:before="81" w:after="81"/>
      </w:pPr>
      <w:r>
        <w:rPr>
          <w:rFonts w:hint="eastAsia"/>
        </w:rPr>
        <w:t>前款规定的知悉内幕信息方式，包括但不限于会谈、电话、传真、书面报告、电子邮件等。内幕信息所处阶段，包括商议筹划，论证咨询，合同订立，公司内部的报告、传递、编制、决议等。</w:t>
      </w:r>
    </w:p>
    <w:p w:rsidR="00061712" w:rsidRDefault="00950132" w:rsidP="00F30E9B">
      <w:pPr>
        <w:widowControl w:val="0"/>
        <w:spacing w:before="81" w:after="81"/>
      </w:pPr>
      <w:r>
        <w:rPr>
          <w:rFonts w:hint="eastAsia"/>
          <w:b/>
        </w:rPr>
        <w:t>第十三条</w:t>
      </w:r>
      <w:r>
        <w:rPr>
          <w:rFonts w:hint="eastAsia"/>
        </w:rPr>
        <w:t xml:space="preserve"> </w:t>
      </w:r>
      <w:r>
        <w:rPr>
          <w:rFonts w:hint="eastAsia"/>
        </w:rPr>
        <w:t>公司内幕信息知情人登记的程序如下：</w:t>
      </w:r>
    </w:p>
    <w:p w:rsidR="00061712" w:rsidRDefault="00950132" w:rsidP="00F30E9B">
      <w:pPr>
        <w:widowControl w:val="0"/>
        <w:spacing w:before="81" w:after="81"/>
      </w:pPr>
      <w:r>
        <w:rPr>
          <w:rFonts w:hint="eastAsia"/>
        </w:rPr>
        <w:t>（一）当内幕信息产生时，内幕信息知情人应当在第一时间及时主动地以</w:t>
      </w:r>
      <w:proofErr w:type="gramStart"/>
      <w:r>
        <w:rPr>
          <w:rFonts w:hint="eastAsia"/>
        </w:rPr>
        <w:t>最</w:t>
      </w:r>
      <w:proofErr w:type="gramEnd"/>
      <w:r>
        <w:rPr>
          <w:rFonts w:hint="eastAsia"/>
        </w:rPr>
        <w:t>快捷的方式（无论是口头或书面，包括电话、邮件、传真等）告知公司董事会秘书，董事会秘书应依据相关法律法规及规范性文件（包括公司内部治理制度）之规定及时控制内幕信息的传递和知情范围；</w:t>
      </w:r>
    </w:p>
    <w:p w:rsidR="00061712" w:rsidRDefault="00950132" w:rsidP="00F30E9B">
      <w:pPr>
        <w:widowControl w:val="0"/>
        <w:spacing w:before="81" w:after="81"/>
      </w:pPr>
      <w:r>
        <w:rPr>
          <w:rFonts w:hint="eastAsia"/>
        </w:rPr>
        <w:t>（二）在</w:t>
      </w:r>
      <w:proofErr w:type="gramStart"/>
      <w:r>
        <w:rPr>
          <w:rFonts w:hint="eastAsia"/>
        </w:rPr>
        <w:t>获相关</w:t>
      </w:r>
      <w:proofErr w:type="gramEnd"/>
      <w:r>
        <w:rPr>
          <w:rFonts w:hint="eastAsia"/>
        </w:rPr>
        <w:t>内幕信息知情人告知后，董事会秘书应当要求该等人士填写《山西安泰集团股份有限公司内幕信息知情人登记表》，并及时对其填写内容进行核实，以确保该等内容的真实性、完整性和准确性；</w:t>
      </w:r>
    </w:p>
    <w:p w:rsidR="00061712" w:rsidRDefault="00950132" w:rsidP="00F30E9B">
      <w:pPr>
        <w:widowControl w:val="0"/>
        <w:spacing w:before="81" w:after="81"/>
      </w:pPr>
      <w:r>
        <w:rPr>
          <w:rFonts w:hint="eastAsia"/>
        </w:rPr>
        <w:t>（三）董事会秘书核实无误后，将该等登记表与相关资料进行存档。</w:t>
      </w:r>
    </w:p>
    <w:p w:rsidR="00061712" w:rsidRDefault="00950132" w:rsidP="00F30E9B">
      <w:pPr>
        <w:widowControl w:val="0"/>
        <w:spacing w:before="81" w:after="81"/>
      </w:pPr>
      <w:r>
        <w:rPr>
          <w:rFonts w:hint="eastAsia"/>
          <w:b/>
        </w:rPr>
        <w:t>第十四条</w:t>
      </w:r>
      <w:r>
        <w:rPr>
          <w:rFonts w:hint="eastAsia"/>
        </w:rPr>
        <w:t xml:space="preserve"> </w:t>
      </w:r>
      <w:r>
        <w:rPr>
          <w:rFonts w:hint="eastAsia"/>
        </w:rPr>
        <w:t>公司股东、实际控制人、董事和高级管理人员以及各职能部门、各子</w:t>
      </w:r>
      <w:r>
        <w:rPr>
          <w:rFonts w:hint="eastAsia"/>
        </w:rPr>
        <w:lastRenderedPageBreak/>
        <w:t>公司及分公司的主要负责人、交易对方、证券服务机构等内幕信息知情人应当积极配合公司做好内幕信息知情人登记工作，及时告知公司内幕信息知情人情况以及相关内幕信息知情人的变更情况。</w:t>
      </w:r>
    </w:p>
    <w:p w:rsidR="00061712" w:rsidRDefault="00950132" w:rsidP="00F30E9B">
      <w:pPr>
        <w:widowControl w:val="0"/>
        <w:spacing w:before="81" w:after="81"/>
      </w:pPr>
      <w:r>
        <w:rPr>
          <w:rFonts w:hint="eastAsia"/>
          <w:b/>
        </w:rPr>
        <w:t>第十五条</w:t>
      </w:r>
      <w:r>
        <w:rPr>
          <w:rFonts w:hint="eastAsia"/>
        </w:rPr>
        <w:t xml:space="preserve"> </w:t>
      </w:r>
      <w:r>
        <w:rPr>
          <w:rFonts w:hint="eastAsia"/>
        </w:rPr>
        <w:t>公司向行政管理部门报送未公开信息的，应当按照一事一记的方式在知情人档案中登记行政管理部门的名称、接触内幕信息的原因以及知悉内幕信息的时间；依据相关法律法规及政策要求，需经常性向相关行政管理部门报送信息的，在报送部门、内容等未发生重大变化的情况下，可将其视为同一内幕信息事项，在同一份内幕信息知情人档案中，持续登记报送信息的时间。</w:t>
      </w:r>
    </w:p>
    <w:p w:rsidR="00061712" w:rsidRDefault="00950132" w:rsidP="00F30E9B">
      <w:pPr>
        <w:widowControl w:val="0"/>
        <w:spacing w:before="81" w:after="81"/>
      </w:pPr>
      <w:r>
        <w:rPr>
          <w:rFonts w:hint="eastAsia"/>
          <w:b/>
        </w:rPr>
        <w:t>第十六条</w:t>
      </w:r>
      <w:r>
        <w:rPr>
          <w:rFonts w:hint="eastAsia"/>
        </w:rPr>
        <w:t xml:space="preserve"> </w:t>
      </w:r>
      <w:r>
        <w:rPr>
          <w:rFonts w:hint="eastAsia"/>
        </w:rPr>
        <w:t>公司发生下列事项的，应当按照上海证券交易所有关规定报送内幕信息知情人档案信息：</w:t>
      </w:r>
    </w:p>
    <w:p w:rsidR="00061712" w:rsidRDefault="00950132" w:rsidP="00F30E9B">
      <w:pPr>
        <w:widowControl w:val="0"/>
        <w:spacing w:before="81" w:after="81"/>
      </w:pPr>
      <w:r>
        <w:rPr>
          <w:rFonts w:hint="eastAsia"/>
        </w:rPr>
        <w:t>（一）重大资产重组；</w:t>
      </w:r>
    </w:p>
    <w:p w:rsidR="00061712" w:rsidRDefault="00950132" w:rsidP="00F30E9B">
      <w:pPr>
        <w:widowControl w:val="0"/>
        <w:spacing w:before="81" w:after="81"/>
      </w:pPr>
      <w:r>
        <w:rPr>
          <w:rFonts w:hint="eastAsia"/>
        </w:rPr>
        <w:t>（二）高比例送转股份；</w:t>
      </w:r>
    </w:p>
    <w:p w:rsidR="00061712" w:rsidRDefault="00950132" w:rsidP="00F30E9B">
      <w:pPr>
        <w:widowControl w:val="0"/>
        <w:spacing w:before="81" w:after="81"/>
      </w:pPr>
      <w:r>
        <w:rPr>
          <w:rFonts w:hint="eastAsia"/>
        </w:rPr>
        <w:t>（三）导致实际控制人或第一大股东发生变更的权益变动；</w:t>
      </w:r>
    </w:p>
    <w:p w:rsidR="00061712" w:rsidRDefault="00950132" w:rsidP="00F30E9B">
      <w:pPr>
        <w:widowControl w:val="0"/>
        <w:spacing w:before="81" w:after="81"/>
      </w:pPr>
      <w:r>
        <w:rPr>
          <w:rFonts w:hint="eastAsia"/>
        </w:rPr>
        <w:t>（四）要约收购；</w:t>
      </w:r>
    </w:p>
    <w:p w:rsidR="00061712" w:rsidRDefault="00950132" w:rsidP="00F30E9B">
      <w:pPr>
        <w:widowControl w:val="0"/>
        <w:spacing w:before="81" w:after="81"/>
      </w:pPr>
      <w:r>
        <w:rPr>
          <w:rFonts w:hint="eastAsia"/>
        </w:rPr>
        <w:t>（五）发行证券；</w:t>
      </w:r>
    </w:p>
    <w:p w:rsidR="00061712" w:rsidRDefault="00950132" w:rsidP="00F30E9B">
      <w:pPr>
        <w:widowControl w:val="0"/>
        <w:spacing w:before="81" w:after="81"/>
      </w:pPr>
      <w:r>
        <w:rPr>
          <w:rFonts w:hint="eastAsia"/>
        </w:rPr>
        <w:t>（六）合并、分立、分拆上市；</w:t>
      </w:r>
    </w:p>
    <w:p w:rsidR="00061712" w:rsidRDefault="00950132" w:rsidP="00F30E9B">
      <w:pPr>
        <w:widowControl w:val="0"/>
        <w:spacing w:before="81" w:after="81"/>
      </w:pPr>
      <w:r>
        <w:rPr>
          <w:rFonts w:hint="eastAsia"/>
        </w:rPr>
        <w:t>（七）回购股份；</w:t>
      </w:r>
      <w:r>
        <w:rPr>
          <w:rFonts w:hint="eastAsia"/>
        </w:rPr>
        <w:t xml:space="preserve"> </w:t>
      </w:r>
    </w:p>
    <w:p w:rsidR="00061712" w:rsidRDefault="00950132" w:rsidP="00F30E9B">
      <w:pPr>
        <w:widowControl w:val="0"/>
        <w:spacing w:before="81" w:after="81"/>
      </w:pPr>
      <w:r>
        <w:rPr>
          <w:rFonts w:hint="eastAsia"/>
        </w:rPr>
        <w:t>（八）中国证监会和上海证券交易所要求的其他可能对公司股票及其衍生品种交易价格有重大影响的事项。</w:t>
      </w:r>
    </w:p>
    <w:p w:rsidR="00061712" w:rsidRDefault="00950132" w:rsidP="00F30E9B">
      <w:pPr>
        <w:widowControl w:val="0"/>
        <w:spacing w:before="81" w:after="81"/>
      </w:pPr>
      <w:r>
        <w:rPr>
          <w:rFonts w:hint="eastAsia"/>
          <w:b/>
        </w:rPr>
        <w:t>第十七条</w:t>
      </w:r>
      <w:r>
        <w:rPr>
          <w:rFonts w:hint="eastAsia"/>
        </w:rPr>
        <w:t xml:space="preserve"> </w:t>
      </w:r>
      <w:r>
        <w:rPr>
          <w:rFonts w:hint="eastAsia"/>
        </w:rPr>
        <w:t>公司应当按照本制度第九条所规定的内幕信息知情人范围，根据内幕信息的实际扩散情况，真实、准确、完整地填写内幕信息知情人档案并向上海证券交易所报送，不得存在虚假记载、重大遗漏和重大错误。公司如发生本制度第十六条所列事项的，报送的内幕信息知情人至少包括下列人员：</w:t>
      </w:r>
    </w:p>
    <w:p w:rsidR="00061712" w:rsidRDefault="00950132" w:rsidP="00F30E9B">
      <w:pPr>
        <w:widowControl w:val="0"/>
        <w:spacing w:before="81" w:after="81"/>
      </w:pPr>
      <w:r>
        <w:rPr>
          <w:rFonts w:hint="eastAsia"/>
        </w:rPr>
        <w:t>（一）公司及其董事、高级管理人员；</w:t>
      </w:r>
    </w:p>
    <w:p w:rsidR="00061712" w:rsidRDefault="00950132" w:rsidP="00F30E9B">
      <w:pPr>
        <w:widowControl w:val="0"/>
        <w:spacing w:before="81" w:after="81"/>
      </w:pPr>
      <w:r>
        <w:rPr>
          <w:rFonts w:hint="eastAsia"/>
        </w:rPr>
        <w:t>（二）公司控股股东、第一大股东、实际控制人，及其董事、监事、高级管理人员（如有）；</w:t>
      </w:r>
    </w:p>
    <w:p w:rsidR="00061712" w:rsidRDefault="00950132" w:rsidP="00F30E9B">
      <w:pPr>
        <w:widowControl w:val="0"/>
        <w:spacing w:before="81" w:after="81"/>
      </w:pPr>
      <w:r>
        <w:rPr>
          <w:rFonts w:hint="eastAsia"/>
        </w:rPr>
        <w:lastRenderedPageBreak/>
        <w:t>（三）公司收购人或者重大资产交易方及其控股股东、实际控制人、董事、监事和高级管理人员（如有）；</w:t>
      </w:r>
    </w:p>
    <w:p w:rsidR="00061712" w:rsidRDefault="00950132" w:rsidP="00F30E9B">
      <w:pPr>
        <w:widowControl w:val="0"/>
        <w:spacing w:before="81" w:after="81"/>
      </w:pPr>
      <w:r>
        <w:rPr>
          <w:rFonts w:hint="eastAsia"/>
        </w:rPr>
        <w:t>（四）相关事项的提案股东及其董事、监事、高级管理人员（如有）；</w:t>
      </w:r>
    </w:p>
    <w:p w:rsidR="00061712" w:rsidRDefault="00950132" w:rsidP="00F30E9B">
      <w:pPr>
        <w:widowControl w:val="0"/>
        <w:spacing w:before="81" w:after="81"/>
      </w:pPr>
      <w:r>
        <w:rPr>
          <w:rFonts w:hint="eastAsia"/>
        </w:rPr>
        <w:t>（五）为该事项提供服务以及参与本次方案的咨询、制定、论证等各环节的相关专业机构及其法定代表人和经办人（如有）；</w:t>
      </w:r>
    </w:p>
    <w:p w:rsidR="00061712" w:rsidRDefault="00950132" w:rsidP="00F30E9B">
      <w:pPr>
        <w:widowControl w:val="0"/>
        <w:spacing w:before="81" w:after="81"/>
      </w:pPr>
      <w:r>
        <w:rPr>
          <w:rFonts w:hint="eastAsia"/>
        </w:rPr>
        <w:t>（六）接收过公司报送信息的行政管理部门及其经办人员（如有）；</w:t>
      </w:r>
    </w:p>
    <w:p w:rsidR="00061712" w:rsidRPr="00F30E9B" w:rsidRDefault="00950132" w:rsidP="00F30E9B">
      <w:pPr>
        <w:widowControl w:val="0"/>
        <w:spacing w:before="81" w:after="81"/>
        <w:rPr>
          <w:spacing w:val="-4"/>
        </w:rPr>
      </w:pPr>
      <w:r w:rsidRPr="00F30E9B">
        <w:rPr>
          <w:rFonts w:hint="eastAsia"/>
          <w:spacing w:val="-4"/>
        </w:rPr>
        <w:t>（七）前述第（一）项至第（六）项规定的自然人的配偶、子女和父母；</w:t>
      </w:r>
      <w:r w:rsidRPr="00F30E9B">
        <w:rPr>
          <w:rFonts w:hint="eastAsia"/>
          <w:spacing w:val="-4"/>
        </w:rPr>
        <w:t xml:space="preserve"> </w:t>
      </w:r>
    </w:p>
    <w:p w:rsidR="00061712" w:rsidRDefault="00950132" w:rsidP="00F30E9B">
      <w:pPr>
        <w:widowControl w:val="0"/>
        <w:spacing w:before="81" w:after="81"/>
      </w:pPr>
      <w:r>
        <w:rPr>
          <w:rFonts w:hint="eastAsia"/>
        </w:rPr>
        <w:t>（八）其他通过直接或间接方式知悉内幕信息的人员及其配偶、子女和父母。</w:t>
      </w:r>
    </w:p>
    <w:p w:rsidR="00061712" w:rsidRDefault="00950132" w:rsidP="00F30E9B">
      <w:pPr>
        <w:widowControl w:val="0"/>
        <w:spacing w:before="81" w:after="81"/>
      </w:pPr>
      <w:r>
        <w:rPr>
          <w:rFonts w:hint="eastAsia"/>
          <w:b/>
        </w:rPr>
        <w:t>第十八条</w:t>
      </w:r>
      <w:r>
        <w:rPr>
          <w:rFonts w:hint="eastAsia"/>
        </w:rPr>
        <w:t xml:space="preserve"> </w:t>
      </w:r>
      <w:r>
        <w:rPr>
          <w:rFonts w:hint="eastAsia"/>
        </w:rPr>
        <w:t>公司进行收购、重大资产重组、发行证券、合并、分立、分拆上市、回购股份等重大事项，或者披露其他可能对公司证券交易价格有重大影响的事项时，除按照规定填写内幕信息知情人档案外，还应当制作重大事项进程备忘录（见附件二），内容包括但不限于筹划决策过程中各个关键时点的时间、参与筹划决策人员名单、筹划决策方式等。重大事项进程备忘录应当真实、准确、完整地记载重大事项的每一具体环节和进展情况，包括方案论证、接洽谈判、形成相关意向、</w:t>
      </w:r>
      <w:proofErr w:type="gramStart"/>
      <w:r>
        <w:rPr>
          <w:rFonts w:hint="eastAsia"/>
        </w:rPr>
        <w:t>作出</w:t>
      </w:r>
      <w:proofErr w:type="gramEnd"/>
      <w:r>
        <w:rPr>
          <w:rFonts w:hint="eastAsia"/>
        </w:rPr>
        <w:t>相关决议、签署相关协议、履行报批手续等事项的时间、地点、参与机构和人员等。公司应当督促重大事项进程备忘录涉及的相关人员在重大事项进程备忘录上签名确认。公司股东、实际控制人及其关联方等相关主体应当配合制作重大事项进程备忘录。</w:t>
      </w:r>
    </w:p>
    <w:p w:rsidR="00061712" w:rsidRDefault="00950132" w:rsidP="00F30E9B">
      <w:pPr>
        <w:widowControl w:val="0"/>
        <w:spacing w:before="81" w:after="81"/>
      </w:pPr>
      <w:r>
        <w:rPr>
          <w:rFonts w:hint="eastAsia"/>
          <w:b/>
        </w:rPr>
        <w:t>第十九条</w:t>
      </w:r>
      <w:r>
        <w:rPr>
          <w:rFonts w:hint="eastAsia"/>
        </w:rPr>
        <w:t xml:space="preserve"> </w:t>
      </w:r>
      <w:r>
        <w:rPr>
          <w:rFonts w:hint="eastAsia"/>
        </w:rPr>
        <w:t>公司应当及时补充完善内幕信息知情人档案及重大事项进程备忘录信息。内幕信息知情人档案及重大事项进程备忘录自记录（含补充完善）之日起至少保存</w:t>
      </w:r>
      <w:r>
        <w:rPr>
          <w:rFonts w:hint="eastAsia"/>
        </w:rPr>
        <w:t>10</w:t>
      </w:r>
      <w:r>
        <w:rPr>
          <w:rFonts w:hint="eastAsia"/>
        </w:rPr>
        <w:t>年。</w:t>
      </w:r>
    </w:p>
    <w:p w:rsidR="00061712" w:rsidRDefault="00950132" w:rsidP="00F30E9B">
      <w:pPr>
        <w:widowControl w:val="0"/>
        <w:spacing w:before="81" w:after="81"/>
      </w:pPr>
      <w:r>
        <w:rPr>
          <w:rFonts w:hint="eastAsia"/>
          <w:b/>
        </w:rPr>
        <w:t>第二十条</w:t>
      </w:r>
      <w:r>
        <w:rPr>
          <w:rFonts w:hint="eastAsia"/>
        </w:rPr>
        <w:t xml:space="preserve"> </w:t>
      </w:r>
      <w:r>
        <w:rPr>
          <w:rFonts w:hint="eastAsia"/>
        </w:rPr>
        <w:t>公司应当在内幕信息首次依法公开披露后</w:t>
      </w:r>
      <w:r>
        <w:rPr>
          <w:rFonts w:hint="eastAsia"/>
        </w:rPr>
        <w:t>5</w:t>
      </w:r>
      <w:r>
        <w:rPr>
          <w:rFonts w:hint="eastAsia"/>
        </w:rPr>
        <w:t>个交易日内，通过上海证券交易所上市公司信息披露电子化系统提交内幕信息知情人档案和重大事项进程备忘录。公司披露重大事项后，相关事项发生重大变化的，公司应当及时补充报送内幕信息知情人档案及重大事项进程备忘录。</w:t>
      </w:r>
    </w:p>
    <w:p w:rsidR="00061712" w:rsidRDefault="00950132" w:rsidP="00F30E9B">
      <w:pPr>
        <w:pStyle w:val="1"/>
        <w:spacing w:before="163"/>
      </w:pPr>
      <w:r>
        <w:rPr>
          <w:rFonts w:hint="eastAsia"/>
        </w:rPr>
        <w:t>第四章 内幕信息保密管理及责任追究</w:t>
      </w:r>
    </w:p>
    <w:p w:rsidR="00061712" w:rsidRDefault="00950132" w:rsidP="00F30E9B">
      <w:pPr>
        <w:widowControl w:val="0"/>
        <w:spacing w:before="81" w:after="81"/>
      </w:pPr>
      <w:r>
        <w:rPr>
          <w:rFonts w:hint="eastAsia"/>
          <w:b/>
        </w:rPr>
        <w:t>第二十一条</w:t>
      </w:r>
      <w:r>
        <w:rPr>
          <w:rFonts w:hint="eastAsia"/>
        </w:rPr>
        <w:t xml:space="preserve"> </w:t>
      </w:r>
      <w:r>
        <w:rPr>
          <w:rFonts w:hint="eastAsia"/>
        </w:rPr>
        <w:t>公司董事、高级管理人员及其他相关内幕信息知情人员在公司内幕</w:t>
      </w:r>
      <w:r>
        <w:rPr>
          <w:rFonts w:hint="eastAsia"/>
        </w:rPr>
        <w:lastRenderedPageBreak/>
        <w:t>信息公开披露之前，应当采取必要措施，将该等信息的知情范围控制到最小，重大信息文件应指定专人报送和保管。</w:t>
      </w:r>
    </w:p>
    <w:p w:rsidR="00061712" w:rsidRDefault="00950132" w:rsidP="00F30E9B">
      <w:pPr>
        <w:widowControl w:val="0"/>
        <w:spacing w:before="81" w:after="81"/>
      </w:pPr>
      <w:r w:rsidRPr="00F30E9B">
        <w:rPr>
          <w:rFonts w:hint="eastAsia"/>
          <w:b/>
          <w:bCs/>
        </w:rPr>
        <w:t>第二十二条</w:t>
      </w:r>
      <w:r>
        <w:rPr>
          <w:rFonts w:hint="eastAsia"/>
        </w:rPr>
        <w:t xml:space="preserve"> </w:t>
      </w:r>
      <w:r>
        <w:rPr>
          <w:rFonts w:hint="eastAsia"/>
        </w:rPr>
        <w:t>公司向控股股东、实际控制人以及其他内幕信息知情人提供未公开信息的，应在提供之前，确认已与其签署保密协议或者取得其对相关信息予以保密的承诺，并及时进行相关登记。控股股东、实际控制人应当配合公司的内幕信息知情人登记工作，不得向公司隐瞒或者要求、协助公司隐瞒重要信息。</w:t>
      </w:r>
    </w:p>
    <w:p w:rsidR="00061712" w:rsidRDefault="00950132" w:rsidP="00F30E9B">
      <w:pPr>
        <w:widowControl w:val="0"/>
        <w:spacing w:before="81" w:after="81"/>
      </w:pPr>
      <w:r>
        <w:rPr>
          <w:rFonts w:hint="eastAsia"/>
          <w:b/>
        </w:rPr>
        <w:t>第二十三条</w:t>
      </w:r>
      <w:r>
        <w:rPr>
          <w:rFonts w:hint="eastAsia"/>
        </w:rPr>
        <w:t xml:space="preserve"> </w:t>
      </w:r>
      <w:r>
        <w:rPr>
          <w:rFonts w:hint="eastAsia"/>
        </w:rPr>
        <w:t>如内幕信息知情人在内幕信息产生时或获知内幕信息后，故意隐瞒、未告知或未能及时向董事会秘书主动告知其已知晓该等内幕信息，或者未完成或未能及时完成内幕信息知情人登记手续，公司除有权要求相关人员补办登记手续之外，如该等内幕信息知情人系公司内部人员，公司将视情节轻重，按照相关法律法规之规定及公司内部治理制度对相关责任人予以处罚；如该等内幕信息知情人系公司及其内部人员之外的任何第三方，则公司保留按照相关法律法规之规定及</w:t>
      </w:r>
      <w:r>
        <w:rPr>
          <w:rFonts w:hint="eastAsia"/>
        </w:rPr>
        <w:t>/</w:t>
      </w:r>
      <w:r>
        <w:rPr>
          <w:rFonts w:hint="eastAsia"/>
        </w:rPr>
        <w:t>或合同、协议等书面文件之约定追究其责任的权利。</w:t>
      </w:r>
    </w:p>
    <w:p w:rsidR="00061712" w:rsidRDefault="00950132" w:rsidP="00F30E9B">
      <w:pPr>
        <w:widowControl w:val="0"/>
        <w:spacing w:before="81" w:after="81"/>
      </w:pPr>
      <w:r>
        <w:rPr>
          <w:rFonts w:hint="eastAsia"/>
          <w:b/>
        </w:rPr>
        <w:t>第二十四条</w:t>
      </w:r>
      <w:r>
        <w:rPr>
          <w:rFonts w:hint="eastAsia"/>
        </w:rPr>
        <w:t xml:space="preserve"> </w:t>
      </w:r>
      <w:r>
        <w:rPr>
          <w:rFonts w:hint="eastAsia"/>
        </w:rPr>
        <w:t>公司内幕信息依法公开披露前，公司的控股股东及实际控制人不得滥用其股东权利或支配地位，要求公司及其董事和高级管理人员向其提供内幕信息。</w:t>
      </w:r>
    </w:p>
    <w:p w:rsidR="00061712" w:rsidRDefault="00950132" w:rsidP="00F30E9B">
      <w:pPr>
        <w:widowControl w:val="0"/>
        <w:spacing w:before="81" w:after="81"/>
      </w:pPr>
      <w:r>
        <w:rPr>
          <w:rFonts w:hint="eastAsia"/>
          <w:b/>
        </w:rPr>
        <w:t>第二十五条</w:t>
      </w:r>
      <w:r>
        <w:rPr>
          <w:rFonts w:hint="eastAsia"/>
        </w:rPr>
        <w:t xml:space="preserve"> </w:t>
      </w:r>
      <w:r>
        <w:rPr>
          <w:rFonts w:hint="eastAsia"/>
        </w:rPr>
        <w:t>公司内幕信息知情人（无论是否已完成登记手续）对其知晓的内幕信息负有保密责任。任何内幕信息知情人在内幕信息依法公开前，不得泄露该等信息、买卖或者建议他人买卖公司上市交易证券、利用内幕信息散布虚假信息、操纵证券市场或者进行欺诈活动等，内幕信息知情人违反本项义务的，将依法承担相关法律法规所规定的处罚责任；涉嫌犯罪的，将依法移送司法机关追究刑事责任；如给公司造成严重影响或损失的，公司将依据有关规定处罚相关责任人或要求其承担赔偿责任。</w:t>
      </w:r>
    </w:p>
    <w:p w:rsidR="00061712" w:rsidRDefault="00950132" w:rsidP="00F30E9B">
      <w:pPr>
        <w:widowControl w:val="0"/>
        <w:spacing w:before="81" w:after="81"/>
      </w:pPr>
      <w:r>
        <w:rPr>
          <w:rFonts w:hint="eastAsia"/>
          <w:b/>
        </w:rPr>
        <w:t>第二十六条</w:t>
      </w:r>
      <w:r>
        <w:rPr>
          <w:rFonts w:hint="eastAsia"/>
        </w:rPr>
        <w:t xml:space="preserve"> </w:t>
      </w:r>
      <w:r>
        <w:rPr>
          <w:rFonts w:hint="eastAsia"/>
        </w:rPr>
        <w:t>如果尚未披露的信息或事项已在市场上流传并使公司股价发生异动，公司应当及时予以澄清，或者直接向中国证监会山西监管局及上海证券交易所报告。</w:t>
      </w:r>
    </w:p>
    <w:p w:rsidR="00061712" w:rsidRDefault="00950132" w:rsidP="00F30E9B">
      <w:pPr>
        <w:widowControl w:val="0"/>
        <w:spacing w:before="81" w:after="81"/>
      </w:pPr>
      <w:r>
        <w:rPr>
          <w:rFonts w:hint="eastAsia"/>
          <w:b/>
        </w:rPr>
        <w:t>第二十七条</w:t>
      </w:r>
      <w:r>
        <w:rPr>
          <w:rFonts w:hint="eastAsia"/>
        </w:rPr>
        <w:t xml:space="preserve"> </w:t>
      </w:r>
      <w:r>
        <w:rPr>
          <w:rFonts w:hint="eastAsia"/>
        </w:rPr>
        <w:t>公司根据中国证监会及证券交易所的规定，对内幕信息知情人买卖本公司证券的情况进行自查。发现内幕信息知情人进行内幕交易、泄露内幕信息或</w:t>
      </w:r>
      <w:r>
        <w:rPr>
          <w:rFonts w:hint="eastAsia"/>
        </w:rPr>
        <w:lastRenderedPageBreak/>
        <w:t>者建议他人进行交易的，公司应当进行核实并依据本制度对相关人员进行责任追究，并在</w:t>
      </w:r>
      <w:r>
        <w:rPr>
          <w:rFonts w:hint="eastAsia"/>
        </w:rPr>
        <w:t>2</w:t>
      </w:r>
      <w:r>
        <w:rPr>
          <w:rFonts w:hint="eastAsia"/>
        </w:rPr>
        <w:t>个工作日内将有关情况及处理结果报送公司注册</w:t>
      </w:r>
      <w:proofErr w:type="gramStart"/>
      <w:r>
        <w:rPr>
          <w:rFonts w:hint="eastAsia"/>
        </w:rPr>
        <w:t>地中国</w:t>
      </w:r>
      <w:proofErr w:type="gramEnd"/>
      <w:r>
        <w:rPr>
          <w:rFonts w:hint="eastAsia"/>
        </w:rPr>
        <w:t>证监会派出机构和证券交易所。</w:t>
      </w:r>
    </w:p>
    <w:p w:rsidR="00061712" w:rsidRDefault="00950132" w:rsidP="00F30E9B">
      <w:pPr>
        <w:widowControl w:val="0"/>
        <w:spacing w:before="81" w:after="81"/>
      </w:pPr>
      <w:r>
        <w:rPr>
          <w:rFonts w:hint="eastAsia"/>
          <w:b/>
        </w:rPr>
        <w:t>第二十八条</w:t>
      </w:r>
      <w:r>
        <w:rPr>
          <w:rFonts w:hint="eastAsia"/>
        </w:rPr>
        <w:t xml:space="preserve"> </w:t>
      </w:r>
      <w:r>
        <w:rPr>
          <w:rFonts w:hint="eastAsia"/>
        </w:rPr>
        <w:t>内幕信息知情人违反相关法律法规、《公司章程》及本制度之规定进行内幕交易而受到公司及有权机关处罚的，公司将把处罚结果报送中国证监会山西监管局和上海证券交易所备案，同时在公司指定的报刊和网络进行公告。</w:t>
      </w:r>
    </w:p>
    <w:p w:rsidR="00061712" w:rsidRDefault="00950132" w:rsidP="00F30E9B">
      <w:pPr>
        <w:widowControl w:val="0"/>
        <w:spacing w:before="81" w:after="81"/>
      </w:pPr>
      <w:r>
        <w:rPr>
          <w:rFonts w:hint="eastAsia"/>
          <w:b/>
        </w:rPr>
        <w:t>第二十九条</w:t>
      </w:r>
      <w:r>
        <w:rPr>
          <w:rFonts w:hint="eastAsia"/>
        </w:rPr>
        <w:t xml:space="preserve"> </w:t>
      </w:r>
      <w:r>
        <w:rPr>
          <w:rFonts w:hint="eastAsia"/>
        </w:rPr>
        <w:t>公司应当加强对内幕信息知情人的教育培训，确保内幕信息知情人明确自身的权利、义务及法律责任，督促有关人员严格履行信息保密职责，坚决杜绝内幕交易。</w:t>
      </w:r>
    </w:p>
    <w:p w:rsidR="00061712" w:rsidRDefault="00950132" w:rsidP="00F30E9B">
      <w:pPr>
        <w:pStyle w:val="1"/>
        <w:spacing w:before="163"/>
      </w:pPr>
      <w:r>
        <w:rPr>
          <w:rFonts w:hint="eastAsia"/>
        </w:rPr>
        <w:t>第五章 附则</w:t>
      </w:r>
    </w:p>
    <w:p w:rsidR="00061712" w:rsidRDefault="00950132" w:rsidP="00F30E9B">
      <w:pPr>
        <w:widowControl w:val="0"/>
        <w:spacing w:before="81" w:after="81"/>
        <w:rPr>
          <w:b/>
        </w:rPr>
      </w:pPr>
      <w:r>
        <w:rPr>
          <w:rFonts w:hint="eastAsia"/>
          <w:b/>
        </w:rPr>
        <w:t>第三十条</w:t>
      </w:r>
      <w:r>
        <w:rPr>
          <w:rFonts w:hint="eastAsia"/>
        </w:rPr>
        <w:t xml:space="preserve"> </w:t>
      </w:r>
      <w:r>
        <w:t>本制度未尽事宜，依照国家有关法律、法规、规范性文件及《公司章程》的有关规定执行。本制度如与有关法律、法规、规范性文件或《公司章程》的有关规定不一致的，以有关法律、法规、规范性文件或《公司章程》的规定为准</w:t>
      </w:r>
      <w:r>
        <w:rPr>
          <w:rFonts w:hint="eastAsia"/>
        </w:rPr>
        <w:t>。</w:t>
      </w:r>
    </w:p>
    <w:p w:rsidR="00061712" w:rsidRDefault="00950132" w:rsidP="00F30E9B">
      <w:pPr>
        <w:widowControl w:val="0"/>
        <w:spacing w:before="81" w:after="81"/>
      </w:pPr>
      <w:r>
        <w:rPr>
          <w:rFonts w:hint="eastAsia"/>
          <w:b/>
        </w:rPr>
        <w:t>第三十</w:t>
      </w:r>
      <w:r w:rsidR="00281CDF">
        <w:rPr>
          <w:rFonts w:hint="eastAsia"/>
          <w:b/>
        </w:rPr>
        <w:t>一</w:t>
      </w:r>
      <w:r>
        <w:rPr>
          <w:rFonts w:hint="eastAsia"/>
          <w:b/>
        </w:rPr>
        <w:t>条</w:t>
      </w:r>
      <w:r>
        <w:rPr>
          <w:rFonts w:hint="eastAsia"/>
        </w:rPr>
        <w:t xml:space="preserve"> </w:t>
      </w:r>
      <w:r>
        <w:t>本制度由公司董事会负责解释和修订</w:t>
      </w:r>
      <w:r>
        <w:rPr>
          <w:rFonts w:hint="eastAsia"/>
        </w:rPr>
        <w:t>。</w:t>
      </w:r>
    </w:p>
    <w:p w:rsidR="00061712" w:rsidRDefault="00950132" w:rsidP="00F30E9B">
      <w:pPr>
        <w:widowControl w:val="0"/>
        <w:spacing w:before="81" w:after="81"/>
      </w:pPr>
      <w:r>
        <w:rPr>
          <w:rFonts w:hint="eastAsia"/>
          <w:b/>
        </w:rPr>
        <w:t>第三十</w:t>
      </w:r>
      <w:r w:rsidR="00281CDF">
        <w:rPr>
          <w:rFonts w:hint="eastAsia"/>
          <w:b/>
        </w:rPr>
        <w:t>二</w:t>
      </w:r>
      <w:r>
        <w:rPr>
          <w:rFonts w:hint="eastAsia"/>
          <w:b/>
        </w:rPr>
        <w:t>条</w:t>
      </w:r>
      <w:r>
        <w:rPr>
          <w:rFonts w:hint="eastAsia"/>
        </w:rPr>
        <w:t xml:space="preserve"> </w:t>
      </w:r>
      <w:r>
        <w:t>本制度自公司董事会审议通过之日起实施</w:t>
      </w:r>
      <w:r>
        <w:rPr>
          <w:rFonts w:hint="eastAsia"/>
        </w:rPr>
        <w:t>。</w:t>
      </w:r>
    </w:p>
    <w:p w:rsidR="00F30E9B" w:rsidRDefault="00F30E9B" w:rsidP="00F30E9B">
      <w:pPr>
        <w:spacing w:before="81" w:after="81"/>
        <w:ind w:firstLine="0"/>
      </w:pPr>
      <w:bookmarkStart w:id="0" w:name="_GoBack"/>
      <w:bookmarkEnd w:id="0"/>
    </w:p>
    <w:p w:rsidR="00F30E9B" w:rsidRDefault="00F30E9B" w:rsidP="00F30E9B">
      <w:pPr>
        <w:widowControl w:val="0"/>
        <w:spacing w:before="81" w:after="81"/>
        <w:ind w:firstLine="480"/>
        <w:jc w:val="right"/>
      </w:pPr>
      <w:r>
        <w:t>山西安泰集团股份有限公司</w:t>
      </w:r>
    </w:p>
    <w:p w:rsidR="00F30E9B" w:rsidRDefault="00F30E9B" w:rsidP="00F30E9B">
      <w:pPr>
        <w:spacing w:before="81" w:after="81"/>
        <w:ind w:right="720" w:firstLineChars="500" w:firstLine="1200"/>
        <w:jc w:val="right"/>
      </w:pPr>
      <w:r>
        <w:t>董</w:t>
      </w:r>
      <w:r>
        <w:t xml:space="preserve">   </w:t>
      </w:r>
      <w:r>
        <w:t>事</w:t>
      </w:r>
      <w:r>
        <w:t xml:space="preserve">   </w:t>
      </w:r>
      <w:r>
        <w:t>会</w:t>
      </w:r>
    </w:p>
    <w:p w:rsidR="00F30E9B" w:rsidRPr="00204805" w:rsidRDefault="00F30E9B" w:rsidP="00F30E9B">
      <w:pPr>
        <w:spacing w:before="81" w:after="81"/>
        <w:ind w:firstLine="480"/>
        <w:jc w:val="right"/>
      </w:pPr>
      <w:r>
        <w:t>二〇二五年十一月</w:t>
      </w:r>
      <w:r w:rsidR="009159BB" w:rsidRPr="009159BB">
        <w:rPr>
          <w:rFonts w:hint="eastAsia"/>
        </w:rPr>
        <w:t>二十八</w:t>
      </w:r>
      <w:r>
        <w:t>日</w:t>
      </w:r>
    </w:p>
    <w:p w:rsidR="00F30E9B" w:rsidRPr="00F30E9B" w:rsidRDefault="00F30E9B" w:rsidP="00F30E9B">
      <w:pPr>
        <w:spacing w:before="81" w:after="81"/>
        <w:ind w:firstLine="0"/>
        <w:sectPr w:rsidR="00F30E9B" w:rsidRPr="00F30E9B" w:rsidSect="00392B2B">
          <w:headerReference w:type="even" r:id="rId8"/>
          <w:headerReference w:type="default" r:id="rId9"/>
          <w:footerReference w:type="even" r:id="rId10"/>
          <w:footerReference w:type="default" r:id="rId11"/>
          <w:headerReference w:type="first" r:id="rId12"/>
          <w:footerReference w:type="first" r:id="rId13"/>
          <w:pgSz w:w="11906" w:h="16838"/>
          <w:pgMar w:top="1418" w:right="1588" w:bottom="1418" w:left="1588" w:header="851" w:footer="992" w:gutter="0"/>
          <w:cols w:space="425"/>
          <w:docGrid w:type="lines" w:linePitch="326"/>
        </w:sectPr>
      </w:pPr>
    </w:p>
    <w:p w:rsidR="00061712" w:rsidRDefault="00950132">
      <w:pPr>
        <w:widowControl w:val="0"/>
        <w:spacing w:beforeLines="0" w:before="0" w:afterLines="0" w:after="0" w:line="240" w:lineRule="auto"/>
        <w:ind w:firstLine="200"/>
        <w:rPr>
          <w:rFonts w:cs="Times New Roman"/>
          <w:b/>
          <w:bCs/>
          <w:szCs w:val="22"/>
        </w:rPr>
      </w:pPr>
      <w:r>
        <w:rPr>
          <w:rFonts w:cs="Times New Roman" w:hint="eastAsia"/>
          <w:b/>
          <w:bCs/>
          <w:szCs w:val="22"/>
        </w:rPr>
        <w:lastRenderedPageBreak/>
        <w:t>附件一：</w:t>
      </w:r>
    </w:p>
    <w:p w:rsidR="00061712" w:rsidRDefault="00950132">
      <w:pPr>
        <w:widowControl w:val="0"/>
        <w:spacing w:beforeLines="0" w:before="0" w:afterLines="0" w:after="0" w:line="480" w:lineRule="exact"/>
        <w:ind w:firstLine="198"/>
        <w:jc w:val="center"/>
        <w:rPr>
          <w:rFonts w:cs="Times New Roman"/>
          <w:b/>
          <w:bCs/>
          <w:sz w:val="28"/>
        </w:rPr>
      </w:pPr>
      <w:r>
        <w:rPr>
          <w:rFonts w:cs="Times New Roman" w:hint="eastAsia"/>
          <w:b/>
          <w:bCs/>
          <w:sz w:val="28"/>
        </w:rPr>
        <w:t>山西安泰集团股份有限公司</w:t>
      </w:r>
    </w:p>
    <w:p w:rsidR="00061712" w:rsidRDefault="00950132">
      <w:pPr>
        <w:widowControl w:val="0"/>
        <w:spacing w:beforeLines="0" w:before="0" w:afterLines="0" w:after="0" w:line="480" w:lineRule="exact"/>
        <w:ind w:firstLine="198"/>
        <w:jc w:val="center"/>
        <w:rPr>
          <w:rFonts w:cs="Times New Roman"/>
          <w:b/>
          <w:bCs/>
          <w:sz w:val="28"/>
        </w:rPr>
      </w:pPr>
      <w:r>
        <w:rPr>
          <w:rFonts w:cs="Times New Roman" w:hint="eastAsia"/>
          <w:b/>
          <w:bCs/>
          <w:sz w:val="28"/>
        </w:rPr>
        <w:t>内幕信息知情人档案</w:t>
      </w:r>
    </w:p>
    <w:tbl>
      <w:tblPr>
        <w:tblStyle w:val="a9"/>
        <w:tblW w:w="5000" w:type="pct"/>
        <w:tblLook w:val="04A0" w:firstRow="1" w:lastRow="0" w:firstColumn="1" w:lastColumn="0" w:noHBand="0" w:noVBand="1"/>
      </w:tblPr>
      <w:tblGrid>
        <w:gridCol w:w="582"/>
        <w:gridCol w:w="1416"/>
        <w:gridCol w:w="1104"/>
        <w:gridCol w:w="1104"/>
        <w:gridCol w:w="1319"/>
        <w:gridCol w:w="795"/>
        <w:gridCol w:w="1747"/>
        <w:gridCol w:w="953"/>
        <w:gridCol w:w="953"/>
        <w:gridCol w:w="953"/>
        <w:gridCol w:w="953"/>
        <w:gridCol w:w="1274"/>
        <w:gridCol w:w="1021"/>
      </w:tblGrid>
      <w:tr w:rsidR="00061712" w:rsidTr="00F30E9B">
        <w:tc>
          <w:tcPr>
            <w:tcW w:w="205" w:type="pct"/>
            <w:vAlign w:val="center"/>
          </w:tcPr>
          <w:p w:rsidR="00061712" w:rsidRDefault="00950132">
            <w:pPr>
              <w:widowControl w:val="0"/>
              <w:spacing w:beforeLines="0" w:before="81" w:afterLines="0" w:after="81" w:line="240" w:lineRule="auto"/>
              <w:ind w:firstLine="0"/>
              <w:jc w:val="center"/>
              <w:rPr>
                <w:b/>
                <w:bCs/>
                <w:kern w:val="0"/>
                <w:sz w:val="21"/>
                <w:szCs w:val="21"/>
              </w:rPr>
            </w:pPr>
            <w:r>
              <w:rPr>
                <w:rFonts w:hint="eastAsia"/>
                <w:b/>
                <w:bCs/>
                <w:kern w:val="0"/>
                <w:sz w:val="21"/>
                <w:szCs w:val="21"/>
              </w:rPr>
              <w:t>序号</w:t>
            </w:r>
          </w:p>
        </w:tc>
        <w:tc>
          <w:tcPr>
            <w:tcW w:w="499" w:type="pct"/>
            <w:vAlign w:val="center"/>
          </w:tcPr>
          <w:p w:rsidR="00061712" w:rsidRDefault="00950132">
            <w:pPr>
              <w:widowControl w:val="0"/>
              <w:spacing w:beforeLines="0" w:before="81" w:afterLines="0" w:after="81" w:line="240" w:lineRule="auto"/>
              <w:ind w:firstLine="0"/>
              <w:jc w:val="center"/>
              <w:rPr>
                <w:b/>
                <w:bCs/>
                <w:kern w:val="0"/>
                <w:sz w:val="21"/>
                <w:szCs w:val="21"/>
              </w:rPr>
            </w:pPr>
            <w:r>
              <w:rPr>
                <w:rFonts w:hint="eastAsia"/>
                <w:b/>
                <w:bCs/>
                <w:kern w:val="0"/>
                <w:sz w:val="21"/>
                <w:szCs w:val="21"/>
              </w:rPr>
              <w:t>内幕信息知情人姓名</w:t>
            </w:r>
            <w:r>
              <w:rPr>
                <w:rFonts w:hint="eastAsia"/>
                <w:b/>
                <w:bCs/>
                <w:kern w:val="0"/>
                <w:sz w:val="21"/>
                <w:szCs w:val="21"/>
              </w:rPr>
              <w:t>/</w:t>
            </w:r>
            <w:r>
              <w:rPr>
                <w:rFonts w:hint="eastAsia"/>
                <w:b/>
                <w:bCs/>
                <w:kern w:val="0"/>
                <w:sz w:val="21"/>
                <w:szCs w:val="21"/>
              </w:rPr>
              <w:t>名称</w:t>
            </w:r>
          </w:p>
        </w:tc>
        <w:tc>
          <w:tcPr>
            <w:tcW w:w="389" w:type="pct"/>
            <w:vAlign w:val="center"/>
          </w:tcPr>
          <w:p w:rsidR="00061712" w:rsidRDefault="00950132">
            <w:pPr>
              <w:widowControl w:val="0"/>
              <w:spacing w:beforeLines="0" w:before="81" w:afterLines="0" w:after="81" w:line="240" w:lineRule="auto"/>
              <w:ind w:firstLine="0"/>
              <w:jc w:val="center"/>
              <w:rPr>
                <w:b/>
                <w:bCs/>
                <w:kern w:val="0"/>
                <w:sz w:val="21"/>
                <w:szCs w:val="21"/>
              </w:rPr>
            </w:pPr>
            <w:r>
              <w:rPr>
                <w:rFonts w:hint="eastAsia"/>
                <w:b/>
                <w:bCs/>
                <w:kern w:val="0"/>
                <w:sz w:val="21"/>
                <w:szCs w:val="21"/>
              </w:rPr>
              <w:t>身份证号码</w:t>
            </w:r>
            <w:r>
              <w:rPr>
                <w:rFonts w:hint="eastAsia"/>
                <w:b/>
                <w:bCs/>
                <w:kern w:val="0"/>
                <w:sz w:val="21"/>
                <w:szCs w:val="21"/>
              </w:rPr>
              <w:t>/</w:t>
            </w:r>
            <w:r>
              <w:rPr>
                <w:rFonts w:hint="eastAsia"/>
                <w:b/>
                <w:bCs/>
                <w:kern w:val="0"/>
                <w:sz w:val="21"/>
                <w:szCs w:val="21"/>
              </w:rPr>
              <w:t>统一社会信用代码</w:t>
            </w:r>
          </w:p>
        </w:tc>
        <w:tc>
          <w:tcPr>
            <w:tcW w:w="389" w:type="pct"/>
            <w:vAlign w:val="center"/>
          </w:tcPr>
          <w:p w:rsidR="00061712" w:rsidRDefault="00950132">
            <w:pPr>
              <w:widowControl w:val="0"/>
              <w:spacing w:beforeLines="0" w:before="81" w:afterLines="0" w:after="81" w:line="240" w:lineRule="auto"/>
              <w:ind w:firstLine="0"/>
              <w:jc w:val="center"/>
              <w:rPr>
                <w:b/>
                <w:bCs/>
                <w:kern w:val="0"/>
                <w:sz w:val="21"/>
                <w:szCs w:val="21"/>
              </w:rPr>
            </w:pPr>
            <w:r>
              <w:rPr>
                <w:rFonts w:hint="eastAsia"/>
                <w:b/>
                <w:bCs/>
                <w:kern w:val="0"/>
                <w:sz w:val="21"/>
                <w:szCs w:val="21"/>
              </w:rPr>
              <w:t>所在单位</w:t>
            </w:r>
            <w:r>
              <w:rPr>
                <w:rFonts w:hint="eastAsia"/>
                <w:b/>
                <w:bCs/>
                <w:kern w:val="0"/>
                <w:sz w:val="21"/>
                <w:szCs w:val="21"/>
              </w:rPr>
              <w:t>/</w:t>
            </w:r>
            <w:r>
              <w:rPr>
                <w:rFonts w:hint="eastAsia"/>
                <w:b/>
                <w:bCs/>
                <w:kern w:val="0"/>
                <w:sz w:val="21"/>
                <w:szCs w:val="21"/>
              </w:rPr>
              <w:t>部门</w:t>
            </w:r>
          </w:p>
        </w:tc>
        <w:tc>
          <w:tcPr>
            <w:tcW w:w="465" w:type="pct"/>
            <w:vAlign w:val="center"/>
          </w:tcPr>
          <w:p w:rsidR="00061712" w:rsidRDefault="00950132">
            <w:pPr>
              <w:widowControl w:val="0"/>
              <w:spacing w:beforeLines="0" w:before="81" w:afterLines="0" w:after="81" w:line="240" w:lineRule="auto"/>
              <w:ind w:firstLine="0"/>
              <w:jc w:val="center"/>
              <w:rPr>
                <w:b/>
                <w:bCs/>
                <w:kern w:val="0"/>
                <w:sz w:val="21"/>
                <w:szCs w:val="21"/>
              </w:rPr>
            </w:pPr>
            <w:r>
              <w:rPr>
                <w:rFonts w:hint="eastAsia"/>
                <w:b/>
                <w:bCs/>
                <w:kern w:val="0"/>
                <w:sz w:val="21"/>
                <w:szCs w:val="21"/>
              </w:rPr>
              <w:t>所在单位与公司的关系</w:t>
            </w:r>
          </w:p>
        </w:tc>
        <w:tc>
          <w:tcPr>
            <w:tcW w:w="280" w:type="pct"/>
            <w:vAlign w:val="center"/>
          </w:tcPr>
          <w:p w:rsidR="00061712" w:rsidRDefault="00950132">
            <w:pPr>
              <w:widowControl w:val="0"/>
              <w:spacing w:beforeLines="0" w:before="81" w:afterLines="0" w:after="81" w:line="240" w:lineRule="auto"/>
              <w:ind w:firstLine="0"/>
              <w:jc w:val="center"/>
              <w:rPr>
                <w:b/>
                <w:bCs/>
                <w:kern w:val="0"/>
                <w:sz w:val="21"/>
                <w:szCs w:val="21"/>
              </w:rPr>
            </w:pPr>
            <w:r>
              <w:rPr>
                <w:rFonts w:hint="eastAsia"/>
                <w:b/>
                <w:bCs/>
                <w:kern w:val="0"/>
                <w:sz w:val="21"/>
                <w:szCs w:val="21"/>
              </w:rPr>
              <w:t>职务</w:t>
            </w:r>
            <w:r>
              <w:rPr>
                <w:rFonts w:hint="eastAsia"/>
                <w:b/>
                <w:bCs/>
                <w:kern w:val="0"/>
                <w:sz w:val="21"/>
                <w:szCs w:val="21"/>
              </w:rPr>
              <w:t>/</w:t>
            </w:r>
            <w:r>
              <w:rPr>
                <w:rFonts w:hint="eastAsia"/>
                <w:b/>
                <w:bCs/>
                <w:kern w:val="0"/>
                <w:sz w:val="21"/>
                <w:szCs w:val="21"/>
              </w:rPr>
              <w:t>岗位</w:t>
            </w:r>
          </w:p>
        </w:tc>
        <w:tc>
          <w:tcPr>
            <w:tcW w:w="616" w:type="pct"/>
            <w:vAlign w:val="center"/>
          </w:tcPr>
          <w:p w:rsidR="00061712" w:rsidRDefault="00950132">
            <w:pPr>
              <w:widowControl w:val="0"/>
              <w:spacing w:beforeLines="0" w:before="81" w:afterLines="0" w:after="81" w:line="240" w:lineRule="auto"/>
              <w:ind w:firstLine="0"/>
              <w:jc w:val="center"/>
              <w:rPr>
                <w:b/>
                <w:bCs/>
                <w:kern w:val="0"/>
                <w:sz w:val="21"/>
                <w:szCs w:val="21"/>
              </w:rPr>
            </w:pPr>
            <w:r>
              <w:rPr>
                <w:rFonts w:hint="eastAsia"/>
                <w:b/>
                <w:bCs/>
                <w:kern w:val="0"/>
                <w:sz w:val="21"/>
                <w:szCs w:val="21"/>
              </w:rPr>
              <w:t>知悉的内幕信息内容</w:t>
            </w:r>
          </w:p>
        </w:tc>
        <w:tc>
          <w:tcPr>
            <w:tcW w:w="336" w:type="pct"/>
            <w:vAlign w:val="center"/>
          </w:tcPr>
          <w:p w:rsidR="00061712" w:rsidRDefault="00950132">
            <w:pPr>
              <w:widowControl w:val="0"/>
              <w:spacing w:beforeLines="0" w:before="81" w:afterLines="0" w:after="81" w:line="240" w:lineRule="auto"/>
              <w:ind w:firstLine="0"/>
              <w:jc w:val="center"/>
              <w:rPr>
                <w:b/>
                <w:bCs/>
                <w:kern w:val="0"/>
                <w:sz w:val="21"/>
                <w:szCs w:val="21"/>
              </w:rPr>
            </w:pPr>
            <w:r>
              <w:rPr>
                <w:rFonts w:hint="eastAsia"/>
                <w:b/>
                <w:bCs/>
                <w:kern w:val="0"/>
                <w:sz w:val="21"/>
                <w:szCs w:val="21"/>
              </w:rPr>
              <w:t>知悉内幕信息时间</w:t>
            </w:r>
          </w:p>
        </w:tc>
        <w:tc>
          <w:tcPr>
            <w:tcW w:w="336" w:type="pct"/>
            <w:vAlign w:val="center"/>
          </w:tcPr>
          <w:p w:rsidR="00061712" w:rsidRDefault="00950132">
            <w:pPr>
              <w:widowControl w:val="0"/>
              <w:spacing w:beforeLines="0" w:before="81" w:afterLines="0" w:after="81" w:line="240" w:lineRule="auto"/>
              <w:ind w:firstLine="0"/>
              <w:jc w:val="center"/>
              <w:rPr>
                <w:b/>
                <w:bCs/>
                <w:kern w:val="0"/>
                <w:sz w:val="21"/>
                <w:szCs w:val="21"/>
              </w:rPr>
            </w:pPr>
            <w:r>
              <w:rPr>
                <w:rFonts w:hint="eastAsia"/>
                <w:b/>
                <w:bCs/>
                <w:kern w:val="0"/>
                <w:sz w:val="21"/>
                <w:szCs w:val="21"/>
              </w:rPr>
              <w:t>知悉内幕信息地点</w:t>
            </w:r>
          </w:p>
        </w:tc>
        <w:tc>
          <w:tcPr>
            <w:tcW w:w="336" w:type="pct"/>
            <w:vAlign w:val="center"/>
          </w:tcPr>
          <w:p w:rsidR="00061712" w:rsidRDefault="00950132">
            <w:pPr>
              <w:widowControl w:val="0"/>
              <w:spacing w:beforeLines="0" w:before="81" w:afterLines="0" w:after="81" w:line="240" w:lineRule="auto"/>
              <w:ind w:firstLine="0"/>
              <w:jc w:val="center"/>
              <w:rPr>
                <w:b/>
                <w:bCs/>
                <w:kern w:val="0"/>
                <w:sz w:val="21"/>
                <w:szCs w:val="21"/>
              </w:rPr>
            </w:pPr>
            <w:r>
              <w:rPr>
                <w:rFonts w:hint="eastAsia"/>
                <w:b/>
                <w:bCs/>
                <w:kern w:val="0"/>
                <w:sz w:val="21"/>
                <w:szCs w:val="21"/>
              </w:rPr>
              <w:t>知悉内幕信息方式</w:t>
            </w:r>
          </w:p>
        </w:tc>
        <w:tc>
          <w:tcPr>
            <w:tcW w:w="336" w:type="pct"/>
            <w:vAlign w:val="center"/>
          </w:tcPr>
          <w:p w:rsidR="00061712" w:rsidRDefault="00950132">
            <w:pPr>
              <w:widowControl w:val="0"/>
              <w:spacing w:beforeLines="0" w:before="81" w:afterLines="0" w:after="81" w:line="240" w:lineRule="auto"/>
              <w:ind w:firstLine="0"/>
              <w:jc w:val="center"/>
              <w:rPr>
                <w:b/>
                <w:bCs/>
                <w:kern w:val="0"/>
                <w:sz w:val="21"/>
                <w:szCs w:val="21"/>
              </w:rPr>
            </w:pPr>
            <w:r>
              <w:rPr>
                <w:rFonts w:hint="eastAsia"/>
                <w:b/>
                <w:bCs/>
                <w:kern w:val="0"/>
                <w:sz w:val="21"/>
                <w:szCs w:val="21"/>
              </w:rPr>
              <w:t>内幕信息所处阶段</w:t>
            </w:r>
          </w:p>
        </w:tc>
        <w:tc>
          <w:tcPr>
            <w:tcW w:w="449" w:type="pct"/>
            <w:vAlign w:val="center"/>
          </w:tcPr>
          <w:p w:rsidR="00061712" w:rsidRDefault="00950132">
            <w:pPr>
              <w:widowControl w:val="0"/>
              <w:spacing w:beforeLines="0" w:before="81" w:afterLines="0" w:after="81" w:line="240" w:lineRule="auto"/>
              <w:ind w:firstLine="0"/>
              <w:jc w:val="center"/>
              <w:rPr>
                <w:b/>
                <w:bCs/>
                <w:kern w:val="0"/>
                <w:sz w:val="21"/>
                <w:szCs w:val="21"/>
              </w:rPr>
            </w:pPr>
            <w:r>
              <w:rPr>
                <w:rFonts w:hint="eastAsia"/>
                <w:b/>
                <w:bCs/>
                <w:kern w:val="0"/>
                <w:sz w:val="21"/>
                <w:szCs w:val="21"/>
              </w:rPr>
              <w:t>登记日期</w:t>
            </w:r>
          </w:p>
        </w:tc>
        <w:tc>
          <w:tcPr>
            <w:tcW w:w="360" w:type="pct"/>
            <w:vAlign w:val="center"/>
          </w:tcPr>
          <w:p w:rsidR="00061712" w:rsidRDefault="00950132">
            <w:pPr>
              <w:widowControl w:val="0"/>
              <w:spacing w:beforeLines="0" w:before="81" w:afterLines="0" w:after="81" w:line="240" w:lineRule="auto"/>
              <w:ind w:firstLine="0"/>
              <w:jc w:val="center"/>
              <w:rPr>
                <w:b/>
                <w:bCs/>
                <w:kern w:val="0"/>
                <w:sz w:val="21"/>
                <w:szCs w:val="21"/>
              </w:rPr>
            </w:pPr>
            <w:r>
              <w:rPr>
                <w:rFonts w:hint="eastAsia"/>
                <w:b/>
                <w:bCs/>
                <w:kern w:val="0"/>
                <w:sz w:val="21"/>
                <w:szCs w:val="21"/>
              </w:rPr>
              <w:t>登记人</w:t>
            </w:r>
          </w:p>
        </w:tc>
      </w:tr>
      <w:tr w:rsidR="00061712" w:rsidTr="00F30E9B">
        <w:trPr>
          <w:trHeight w:val="349"/>
        </w:trPr>
        <w:tc>
          <w:tcPr>
            <w:tcW w:w="205" w:type="pct"/>
            <w:vAlign w:val="center"/>
          </w:tcPr>
          <w:p w:rsidR="00061712" w:rsidRDefault="00061712">
            <w:pPr>
              <w:widowControl w:val="0"/>
              <w:numPr>
                <w:ilvl w:val="0"/>
                <w:numId w:val="1"/>
              </w:numPr>
              <w:spacing w:beforeLines="0" w:before="81" w:afterLines="0" w:after="81" w:line="240" w:lineRule="auto"/>
              <w:ind w:firstLineChars="200" w:firstLine="420"/>
              <w:jc w:val="center"/>
              <w:rPr>
                <w:kern w:val="0"/>
                <w:sz w:val="21"/>
                <w:szCs w:val="21"/>
              </w:rPr>
            </w:pPr>
          </w:p>
        </w:tc>
        <w:tc>
          <w:tcPr>
            <w:tcW w:w="499"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389"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389"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465"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280"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616"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336"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336"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336"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336"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449"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360" w:type="pct"/>
            <w:vAlign w:val="center"/>
          </w:tcPr>
          <w:p w:rsidR="00061712" w:rsidRDefault="00061712">
            <w:pPr>
              <w:widowControl w:val="0"/>
              <w:spacing w:beforeLines="0" w:before="81" w:afterLines="0" w:after="81" w:line="240" w:lineRule="auto"/>
              <w:ind w:firstLine="0"/>
              <w:jc w:val="left"/>
              <w:rPr>
                <w:kern w:val="0"/>
                <w:sz w:val="21"/>
                <w:szCs w:val="21"/>
              </w:rPr>
            </w:pPr>
          </w:p>
        </w:tc>
      </w:tr>
      <w:tr w:rsidR="00061712" w:rsidTr="00F30E9B">
        <w:trPr>
          <w:trHeight w:val="337"/>
        </w:trPr>
        <w:tc>
          <w:tcPr>
            <w:tcW w:w="205" w:type="pct"/>
            <w:vAlign w:val="center"/>
          </w:tcPr>
          <w:p w:rsidR="00061712" w:rsidRDefault="00061712">
            <w:pPr>
              <w:widowControl w:val="0"/>
              <w:numPr>
                <w:ilvl w:val="0"/>
                <w:numId w:val="1"/>
              </w:numPr>
              <w:spacing w:beforeLines="0" w:before="81" w:afterLines="0" w:after="81" w:line="240" w:lineRule="auto"/>
              <w:ind w:firstLineChars="200" w:firstLine="420"/>
              <w:jc w:val="center"/>
              <w:rPr>
                <w:kern w:val="0"/>
                <w:sz w:val="21"/>
                <w:szCs w:val="21"/>
              </w:rPr>
            </w:pPr>
          </w:p>
        </w:tc>
        <w:tc>
          <w:tcPr>
            <w:tcW w:w="499"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389"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389"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465"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280"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616"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336"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336"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336"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336"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449"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360" w:type="pct"/>
            <w:vAlign w:val="center"/>
          </w:tcPr>
          <w:p w:rsidR="00061712" w:rsidRDefault="00061712">
            <w:pPr>
              <w:widowControl w:val="0"/>
              <w:spacing w:beforeLines="0" w:before="81" w:afterLines="0" w:after="81" w:line="240" w:lineRule="auto"/>
              <w:ind w:firstLine="0"/>
              <w:jc w:val="left"/>
              <w:rPr>
                <w:kern w:val="0"/>
                <w:sz w:val="21"/>
                <w:szCs w:val="21"/>
              </w:rPr>
            </w:pPr>
          </w:p>
        </w:tc>
      </w:tr>
    </w:tbl>
    <w:p w:rsidR="00061712" w:rsidRDefault="00950132">
      <w:pPr>
        <w:widowControl w:val="0"/>
        <w:spacing w:beforeLines="0" w:before="0" w:afterLines="0" w:after="0"/>
        <w:ind w:firstLineChars="200" w:firstLine="480"/>
        <w:rPr>
          <w:rFonts w:cs="Times New Roman"/>
          <w:szCs w:val="22"/>
        </w:rPr>
      </w:pPr>
      <w:r>
        <w:rPr>
          <w:rFonts w:cs="Times New Roman" w:hint="eastAsia"/>
          <w:szCs w:val="22"/>
        </w:rPr>
        <w:t>公司简称：安泰集团（</w:t>
      </w:r>
      <w:r>
        <w:rPr>
          <w:rFonts w:cs="Times New Roman" w:hint="eastAsia"/>
          <w:szCs w:val="22"/>
        </w:rPr>
        <w:t>A</w:t>
      </w:r>
      <w:r>
        <w:rPr>
          <w:rFonts w:cs="Times New Roman" w:hint="eastAsia"/>
          <w:szCs w:val="22"/>
        </w:rPr>
        <w:t>股）</w:t>
      </w:r>
      <w:r w:rsidR="00113AB6">
        <w:rPr>
          <w:rFonts w:cs="Times New Roman" w:hint="eastAsia"/>
          <w:szCs w:val="22"/>
        </w:rPr>
        <w:t xml:space="preserve">               </w:t>
      </w:r>
      <w:r>
        <w:rPr>
          <w:rFonts w:cs="Times New Roman" w:hint="eastAsia"/>
          <w:szCs w:val="22"/>
        </w:rPr>
        <w:t>公司代码：</w:t>
      </w:r>
      <w:r>
        <w:rPr>
          <w:rFonts w:cs="Times New Roman"/>
          <w:szCs w:val="22"/>
        </w:rPr>
        <w:t>600408</w:t>
      </w:r>
    </w:p>
    <w:p w:rsidR="00061712" w:rsidRDefault="00950132">
      <w:pPr>
        <w:widowControl w:val="0"/>
        <w:spacing w:beforeLines="0" w:before="0" w:afterLines="0" w:after="0"/>
        <w:ind w:firstLineChars="200" w:firstLine="480"/>
        <w:rPr>
          <w:rFonts w:cs="Times New Roman"/>
          <w:szCs w:val="22"/>
        </w:rPr>
      </w:pPr>
      <w:r>
        <w:rPr>
          <w:rFonts w:cs="Times New Roman" w:hint="eastAsia"/>
          <w:szCs w:val="22"/>
        </w:rPr>
        <w:t>董事会秘书签名：</w:t>
      </w:r>
      <w:r>
        <w:rPr>
          <w:rFonts w:cs="Times New Roman" w:hint="eastAsia"/>
          <w:szCs w:val="22"/>
        </w:rPr>
        <w:t xml:space="preserve"> </w:t>
      </w:r>
      <w:r>
        <w:rPr>
          <w:rFonts w:cs="Times New Roman"/>
          <w:szCs w:val="22"/>
        </w:rPr>
        <w:t xml:space="preserve">                        </w:t>
      </w:r>
      <w:r>
        <w:rPr>
          <w:rFonts w:cs="Times New Roman" w:hint="eastAsia"/>
          <w:szCs w:val="22"/>
        </w:rPr>
        <w:t>公司盖章：</w:t>
      </w:r>
      <w:r>
        <w:rPr>
          <w:rFonts w:cs="Times New Roman" w:hint="eastAsia"/>
          <w:szCs w:val="22"/>
        </w:rPr>
        <w:t xml:space="preserve">                          </w:t>
      </w:r>
      <w:r>
        <w:rPr>
          <w:rFonts w:cs="Times New Roman" w:hint="eastAsia"/>
          <w:szCs w:val="22"/>
        </w:rPr>
        <w:t>董事长签名：</w:t>
      </w:r>
    </w:p>
    <w:p w:rsidR="00061712" w:rsidRDefault="00950132">
      <w:pPr>
        <w:widowControl w:val="0"/>
        <w:spacing w:beforeLines="0" w:before="0" w:afterLines="0" w:after="0"/>
        <w:ind w:firstLineChars="200" w:firstLine="480"/>
        <w:rPr>
          <w:rFonts w:cs="Times New Roman"/>
          <w:szCs w:val="22"/>
        </w:rPr>
      </w:pPr>
      <w:r>
        <w:rPr>
          <w:rFonts w:cs="Times New Roman" w:hint="eastAsia"/>
          <w:szCs w:val="22"/>
        </w:rPr>
        <w:t>注：</w:t>
      </w:r>
    </w:p>
    <w:p w:rsidR="00061712" w:rsidRDefault="00950132">
      <w:pPr>
        <w:widowControl w:val="0"/>
        <w:spacing w:beforeLines="0" w:before="0" w:afterLines="0" w:after="0"/>
        <w:ind w:firstLineChars="200" w:firstLine="480"/>
        <w:rPr>
          <w:rFonts w:cs="Times New Roman"/>
          <w:szCs w:val="22"/>
        </w:rPr>
      </w:pPr>
      <w:r>
        <w:rPr>
          <w:rFonts w:cs="Times New Roman"/>
          <w:szCs w:val="22"/>
        </w:rPr>
        <w:t>1</w:t>
      </w:r>
      <w:r>
        <w:rPr>
          <w:rFonts w:cs="Times New Roman" w:hint="eastAsia"/>
          <w:szCs w:val="22"/>
        </w:rPr>
        <w:t>、内幕信息事项应采取一事一记的方式，即每份内幕信息知情人档案仅涉及一个内幕信息事项，不同内幕信息事项涉及的知情人档案应分别记录；</w:t>
      </w:r>
    </w:p>
    <w:p w:rsidR="00061712" w:rsidRDefault="00950132">
      <w:pPr>
        <w:widowControl w:val="0"/>
        <w:spacing w:beforeLines="0" w:before="0" w:afterLines="0" w:after="0"/>
        <w:ind w:firstLineChars="200" w:firstLine="480"/>
        <w:rPr>
          <w:rFonts w:cs="Times New Roman"/>
          <w:szCs w:val="22"/>
        </w:rPr>
      </w:pPr>
      <w:r>
        <w:rPr>
          <w:rFonts w:cs="Times New Roman"/>
          <w:szCs w:val="22"/>
        </w:rPr>
        <w:t>2</w:t>
      </w:r>
      <w:r>
        <w:rPr>
          <w:rFonts w:cs="Times New Roman" w:hint="eastAsia"/>
          <w:szCs w:val="22"/>
        </w:rPr>
        <w:t>、填报知悉内幕信息方式，包括但不限于会谈、电话、传真、书面报告、电子邮件等；</w:t>
      </w:r>
      <w:r>
        <w:rPr>
          <w:rFonts w:cs="Times New Roman" w:hint="eastAsia"/>
          <w:szCs w:val="22"/>
        </w:rPr>
        <w:t xml:space="preserve"> </w:t>
      </w:r>
    </w:p>
    <w:p w:rsidR="00061712" w:rsidRDefault="00950132">
      <w:pPr>
        <w:widowControl w:val="0"/>
        <w:spacing w:beforeLines="0" w:before="0" w:afterLines="0" w:after="0"/>
        <w:ind w:firstLineChars="200" w:firstLine="480"/>
        <w:rPr>
          <w:rFonts w:cs="Times New Roman"/>
          <w:szCs w:val="22"/>
        </w:rPr>
      </w:pPr>
      <w:r>
        <w:rPr>
          <w:rFonts w:cs="Times New Roman"/>
          <w:szCs w:val="22"/>
        </w:rPr>
        <w:t>3</w:t>
      </w:r>
      <w:r>
        <w:rPr>
          <w:rFonts w:cs="Times New Roman" w:hint="eastAsia"/>
          <w:szCs w:val="22"/>
        </w:rPr>
        <w:t>、填报内幕信息内容，可根据需要添加附页进行详细说明；</w:t>
      </w:r>
      <w:r>
        <w:rPr>
          <w:rFonts w:cs="Times New Roman" w:hint="eastAsia"/>
          <w:szCs w:val="22"/>
        </w:rPr>
        <w:t xml:space="preserve"> </w:t>
      </w:r>
    </w:p>
    <w:p w:rsidR="00061712" w:rsidRDefault="00950132">
      <w:pPr>
        <w:widowControl w:val="0"/>
        <w:spacing w:beforeLines="0" w:before="0" w:afterLines="0" w:after="0"/>
        <w:ind w:firstLineChars="200" w:firstLine="480"/>
        <w:rPr>
          <w:rFonts w:cs="Times New Roman"/>
          <w:szCs w:val="22"/>
        </w:rPr>
      </w:pPr>
      <w:r>
        <w:rPr>
          <w:rFonts w:cs="Times New Roman"/>
          <w:szCs w:val="22"/>
        </w:rPr>
        <w:t>4</w:t>
      </w:r>
      <w:r>
        <w:rPr>
          <w:rFonts w:cs="Times New Roman" w:hint="eastAsia"/>
          <w:szCs w:val="22"/>
        </w:rPr>
        <w:t>、填报内幕信息所处阶段，包括商议筹划，论证咨询，合同订立，公司内部的报告、传递、编制、决议等；</w:t>
      </w:r>
      <w:r>
        <w:rPr>
          <w:rFonts w:cs="Times New Roman" w:hint="eastAsia"/>
          <w:szCs w:val="22"/>
        </w:rPr>
        <w:t xml:space="preserve"> </w:t>
      </w:r>
    </w:p>
    <w:p w:rsidR="00061712" w:rsidRDefault="00950132" w:rsidP="00F30E9B">
      <w:pPr>
        <w:widowControl w:val="0"/>
        <w:spacing w:beforeLines="0" w:before="0" w:afterLines="0" w:after="0"/>
        <w:ind w:firstLineChars="200" w:firstLine="480"/>
        <w:rPr>
          <w:rFonts w:cs="Times New Roman"/>
          <w:szCs w:val="22"/>
        </w:rPr>
      </w:pPr>
      <w:r>
        <w:rPr>
          <w:rFonts w:cs="Times New Roman"/>
          <w:szCs w:val="22"/>
        </w:rPr>
        <w:t>5</w:t>
      </w:r>
      <w:r>
        <w:rPr>
          <w:rFonts w:cs="Times New Roman" w:hint="eastAsia"/>
          <w:szCs w:val="22"/>
        </w:rPr>
        <w:t>、如为公司登记，填写公司登记人名字；如为公司汇总，保留所汇总表格中原登记人的姓名。</w:t>
      </w:r>
      <w:r>
        <w:rPr>
          <w:rFonts w:cs="Times New Roman" w:hint="eastAsia"/>
          <w:szCs w:val="22"/>
        </w:rPr>
        <w:t xml:space="preserve"> </w:t>
      </w:r>
    </w:p>
    <w:p w:rsidR="00061712" w:rsidRDefault="00950132">
      <w:pPr>
        <w:widowControl w:val="0"/>
        <w:spacing w:beforeLines="0" w:before="0" w:afterLines="0" w:after="0" w:line="240" w:lineRule="auto"/>
        <w:ind w:firstLine="0"/>
        <w:rPr>
          <w:rFonts w:cs="Times New Roman"/>
          <w:b/>
          <w:bCs/>
          <w:szCs w:val="22"/>
        </w:rPr>
      </w:pPr>
      <w:r>
        <w:rPr>
          <w:rFonts w:cs="Times New Roman" w:hint="eastAsia"/>
          <w:b/>
          <w:bCs/>
          <w:szCs w:val="22"/>
        </w:rPr>
        <w:lastRenderedPageBreak/>
        <w:t>附件二：</w:t>
      </w:r>
    </w:p>
    <w:p w:rsidR="00061712" w:rsidRDefault="00950132">
      <w:pPr>
        <w:widowControl w:val="0"/>
        <w:spacing w:beforeLines="0" w:before="0" w:afterLines="0" w:after="0" w:line="480" w:lineRule="exact"/>
        <w:ind w:firstLine="198"/>
        <w:jc w:val="center"/>
        <w:rPr>
          <w:rFonts w:cs="Times New Roman"/>
          <w:b/>
          <w:bCs/>
          <w:sz w:val="28"/>
        </w:rPr>
      </w:pPr>
      <w:r>
        <w:rPr>
          <w:rFonts w:cs="Times New Roman" w:hint="eastAsia"/>
          <w:b/>
          <w:bCs/>
          <w:sz w:val="28"/>
        </w:rPr>
        <w:t>山西安泰集团股份有限公司</w:t>
      </w:r>
    </w:p>
    <w:p w:rsidR="00061712" w:rsidRDefault="00950132">
      <w:pPr>
        <w:widowControl w:val="0"/>
        <w:spacing w:beforeLines="0" w:before="0" w:afterLines="0" w:after="0" w:line="480" w:lineRule="exact"/>
        <w:ind w:firstLine="198"/>
        <w:jc w:val="center"/>
        <w:rPr>
          <w:rFonts w:cs="Times New Roman"/>
          <w:b/>
          <w:bCs/>
          <w:sz w:val="28"/>
        </w:rPr>
      </w:pPr>
      <w:r>
        <w:rPr>
          <w:rFonts w:cs="Times New Roman" w:hint="eastAsia"/>
          <w:b/>
          <w:bCs/>
          <w:sz w:val="28"/>
        </w:rPr>
        <w:t>重大事项进程备忘录</w:t>
      </w:r>
    </w:p>
    <w:p w:rsidR="00061712" w:rsidRDefault="00950132">
      <w:pPr>
        <w:widowControl w:val="0"/>
        <w:spacing w:beforeLines="0" w:before="0" w:afterLines="0" w:after="0"/>
        <w:ind w:firstLine="0"/>
        <w:rPr>
          <w:rFonts w:cs="Times New Roman"/>
          <w:b/>
          <w:bCs/>
          <w:sz w:val="28"/>
        </w:rPr>
      </w:pPr>
      <w:r>
        <w:rPr>
          <w:rFonts w:cs="Times New Roman" w:hint="eastAsia"/>
          <w:b/>
          <w:bCs/>
          <w:sz w:val="28"/>
        </w:rPr>
        <w:t>公司简称：安泰集团</w:t>
      </w:r>
    </w:p>
    <w:p w:rsidR="00061712" w:rsidRDefault="00950132">
      <w:pPr>
        <w:widowControl w:val="0"/>
        <w:spacing w:beforeLines="0" w:before="0" w:afterLines="0" w:after="0"/>
        <w:ind w:firstLine="0"/>
        <w:rPr>
          <w:rFonts w:cs="Times New Roman"/>
          <w:b/>
          <w:bCs/>
          <w:sz w:val="28"/>
        </w:rPr>
      </w:pPr>
      <w:r>
        <w:rPr>
          <w:rFonts w:cs="Times New Roman" w:hint="eastAsia"/>
          <w:b/>
          <w:bCs/>
          <w:sz w:val="28"/>
        </w:rPr>
        <w:t>公司代码：</w:t>
      </w:r>
      <w:r>
        <w:rPr>
          <w:rFonts w:cs="Times New Roman" w:hint="eastAsia"/>
          <w:b/>
          <w:bCs/>
          <w:sz w:val="28"/>
        </w:rPr>
        <w:t>600408</w:t>
      </w:r>
    </w:p>
    <w:p w:rsidR="00061712" w:rsidRDefault="00950132">
      <w:pPr>
        <w:widowControl w:val="0"/>
        <w:spacing w:beforeLines="0" w:before="0" w:afterLines="0" w:after="0"/>
        <w:ind w:firstLine="0"/>
        <w:rPr>
          <w:rFonts w:cs="Times New Roman"/>
          <w:b/>
          <w:bCs/>
          <w:sz w:val="28"/>
        </w:rPr>
      </w:pPr>
      <w:r>
        <w:rPr>
          <w:rFonts w:cs="Times New Roman" w:hint="eastAsia"/>
          <w:b/>
          <w:bCs/>
          <w:sz w:val="28"/>
        </w:rPr>
        <w:t>所涉重大事项简述：</w:t>
      </w:r>
    </w:p>
    <w:tbl>
      <w:tblPr>
        <w:tblStyle w:val="a9"/>
        <w:tblW w:w="5000" w:type="pct"/>
        <w:tblLook w:val="04A0" w:firstRow="1" w:lastRow="0" w:firstColumn="1" w:lastColumn="0" w:noHBand="0" w:noVBand="1"/>
      </w:tblPr>
      <w:tblGrid>
        <w:gridCol w:w="2254"/>
        <w:gridCol w:w="1273"/>
        <w:gridCol w:w="1763"/>
        <w:gridCol w:w="1763"/>
        <w:gridCol w:w="1763"/>
        <w:gridCol w:w="4105"/>
        <w:gridCol w:w="1253"/>
      </w:tblGrid>
      <w:tr w:rsidR="00061712">
        <w:trPr>
          <w:trHeight w:val="851"/>
        </w:trPr>
        <w:tc>
          <w:tcPr>
            <w:tcW w:w="795" w:type="pct"/>
            <w:vAlign w:val="center"/>
          </w:tcPr>
          <w:p w:rsidR="00061712" w:rsidRDefault="00950132">
            <w:pPr>
              <w:widowControl w:val="0"/>
              <w:spacing w:beforeLines="0" w:before="81" w:afterLines="0" w:after="81" w:line="240" w:lineRule="auto"/>
              <w:ind w:firstLine="0"/>
              <w:jc w:val="center"/>
              <w:rPr>
                <w:b/>
                <w:bCs/>
                <w:kern w:val="0"/>
                <w:sz w:val="21"/>
                <w:szCs w:val="21"/>
              </w:rPr>
            </w:pPr>
            <w:r>
              <w:rPr>
                <w:rFonts w:hint="eastAsia"/>
                <w:b/>
                <w:bCs/>
                <w:kern w:val="0"/>
                <w:sz w:val="21"/>
                <w:szCs w:val="21"/>
              </w:rPr>
              <w:t>重大事项所处阶段</w:t>
            </w:r>
          </w:p>
        </w:tc>
        <w:tc>
          <w:tcPr>
            <w:tcW w:w="449" w:type="pct"/>
            <w:vAlign w:val="center"/>
          </w:tcPr>
          <w:p w:rsidR="00061712" w:rsidRDefault="00950132">
            <w:pPr>
              <w:widowControl w:val="0"/>
              <w:spacing w:beforeLines="0" w:before="81" w:afterLines="0" w:after="81" w:line="240" w:lineRule="auto"/>
              <w:ind w:firstLine="0"/>
              <w:jc w:val="center"/>
              <w:rPr>
                <w:b/>
                <w:bCs/>
                <w:kern w:val="0"/>
                <w:sz w:val="21"/>
                <w:szCs w:val="21"/>
              </w:rPr>
            </w:pPr>
            <w:r>
              <w:rPr>
                <w:rFonts w:hint="eastAsia"/>
                <w:b/>
                <w:bCs/>
                <w:kern w:val="0"/>
                <w:sz w:val="21"/>
                <w:szCs w:val="21"/>
              </w:rPr>
              <w:t>时间</w:t>
            </w:r>
          </w:p>
        </w:tc>
        <w:tc>
          <w:tcPr>
            <w:tcW w:w="622" w:type="pct"/>
            <w:vAlign w:val="center"/>
          </w:tcPr>
          <w:p w:rsidR="00061712" w:rsidRDefault="00950132">
            <w:pPr>
              <w:widowControl w:val="0"/>
              <w:spacing w:beforeLines="0" w:before="81" w:afterLines="0" w:after="81" w:line="240" w:lineRule="auto"/>
              <w:ind w:firstLine="0"/>
              <w:jc w:val="center"/>
              <w:rPr>
                <w:b/>
                <w:bCs/>
                <w:kern w:val="0"/>
                <w:sz w:val="21"/>
                <w:szCs w:val="21"/>
              </w:rPr>
            </w:pPr>
            <w:r>
              <w:rPr>
                <w:rFonts w:hint="eastAsia"/>
                <w:b/>
                <w:bCs/>
                <w:kern w:val="0"/>
                <w:sz w:val="21"/>
                <w:szCs w:val="21"/>
              </w:rPr>
              <w:t>地点</w:t>
            </w:r>
          </w:p>
        </w:tc>
        <w:tc>
          <w:tcPr>
            <w:tcW w:w="622" w:type="pct"/>
            <w:vAlign w:val="center"/>
          </w:tcPr>
          <w:p w:rsidR="00061712" w:rsidRDefault="00950132">
            <w:pPr>
              <w:widowControl w:val="0"/>
              <w:spacing w:beforeLines="0" w:before="81" w:afterLines="0" w:after="81" w:line="240" w:lineRule="auto"/>
              <w:ind w:firstLine="0"/>
              <w:jc w:val="center"/>
              <w:rPr>
                <w:b/>
                <w:bCs/>
                <w:kern w:val="0"/>
                <w:sz w:val="21"/>
                <w:szCs w:val="21"/>
              </w:rPr>
            </w:pPr>
            <w:r>
              <w:rPr>
                <w:rFonts w:hint="eastAsia"/>
                <w:b/>
                <w:bCs/>
                <w:kern w:val="0"/>
                <w:sz w:val="21"/>
                <w:szCs w:val="21"/>
              </w:rPr>
              <w:t>筹划决策方式</w:t>
            </w:r>
          </w:p>
        </w:tc>
        <w:tc>
          <w:tcPr>
            <w:tcW w:w="622" w:type="pct"/>
            <w:vAlign w:val="center"/>
          </w:tcPr>
          <w:p w:rsidR="00061712" w:rsidRDefault="00950132">
            <w:pPr>
              <w:widowControl w:val="0"/>
              <w:spacing w:beforeLines="0" w:before="81" w:afterLines="0" w:after="81" w:line="240" w:lineRule="auto"/>
              <w:ind w:firstLine="0"/>
              <w:jc w:val="center"/>
              <w:rPr>
                <w:b/>
                <w:bCs/>
                <w:kern w:val="0"/>
                <w:sz w:val="21"/>
                <w:szCs w:val="21"/>
              </w:rPr>
            </w:pPr>
            <w:r>
              <w:rPr>
                <w:rFonts w:hint="eastAsia"/>
                <w:b/>
                <w:bCs/>
                <w:kern w:val="0"/>
                <w:sz w:val="21"/>
                <w:szCs w:val="21"/>
              </w:rPr>
              <w:t>参与机构和人员</w:t>
            </w:r>
          </w:p>
        </w:tc>
        <w:tc>
          <w:tcPr>
            <w:tcW w:w="1448" w:type="pct"/>
            <w:vAlign w:val="center"/>
          </w:tcPr>
          <w:p w:rsidR="00061712" w:rsidRDefault="00950132">
            <w:pPr>
              <w:widowControl w:val="0"/>
              <w:spacing w:beforeLines="0" w:before="81" w:afterLines="0" w:after="81" w:line="240" w:lineRule="auto"/>
              <w:ind w:firstLine="0"/>
              <w:jc w:val="center"/>
              <w:rPr>
                <w:b/>
                <w:bCs/>
                <w:kern w:val="0"/>
                <w:sz w:val="21"/>
                <w:szCs w:val="21"/>
              </w:rPr>
            </w:pPr>
            <w:r>
              <w:rPr>
                <w:rFonts w:hint="eastAsia"/>
                <w:b/>
                <w:bCs/>
                <w:kern w:val="0"/>
                <w:sz w:val="21"/>
                <w:szCs w:val="21"/>
              </w:rPr>
              <w:t>商议和决议内容</w:t>
            </w:r>
          </w:p>
        </w:tc>
        <w:tc>
          <w:tcPr>
            <w:tcW w:w="442" w:type="pct"/>
            <w:vAlign w:val="center"/>
          </w:tcPr>
          <w:p w:rsidR="00061712" w:rsidRDefault="00950132">
            <w:pPr>
              <w:widowControl w:val="0"/>
              <w:spacing w:beforeLines="0" w:before="81" w:afterLines="0" w:after="81" w:line="240" w:lineRule="auto"/>
              <w:ind w:firstLine="0"/>
              <w:jc w:val="center"/>
              <w:rPr>
                <w:b/>
                <w:bCs/>
                <w:kern w:val="0"/>
                <w:sz w:val="21"/>
                <w:szCs w:val="21"/>
              </w:rPr>
            </w:pPr>
            <w:r>
              <w:rPr>
                <w:rFonts w:hint="eastAsia"/>
                <w:b/>
                <w:bCs/>
                <w:kern w:val="0"/>
                <w:sz w:val="21"/>
                <w:szCs w:val="21"/>
              </w:rPr>
              <w:t>签名</w:t>
            </w:r>
          </w:p>
        </w:tc>
      </w:tr>
      <w:tr w:rsidR="00061712">
        <w:trPr>
          <w:trHeight w:hRule="exact" w:val="680"/>
        </w:trPr>
        <w:tc>
          <w:tcPr>
            <w:tcW w:w="795"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449"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622" w:type="pct"/>
            <w:vAlign w:val="center"/>
          </w:tcPr>
          <w:p w:rsidR="00061712" w:rsidRDefault="00061712">
            <w:pPr>
              <w:widowControl w:val="0"/>
              <w:spacing w:beforeLines="0" w:before="81" w:afterLines="0" w:after="81" w:line="240" w:lineRule="auto"/>
              <w:ind w:firstLine="0"/>
              <w:jc w:val="center"/>
              <w:rPr>
                <w:kern w:val="0"/>
                <w:sz w:val="21"/>
                <w:szCs w:val="21"/>
              </w:rPr>
            </w:pPr>
          </w:p>
        </w:tc>
        <w:tc>
          <w:tcPr>
            <w:tcW w:w="622"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622"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1448"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442" w:type="pct"/>
            <w:vAlign w:val="center"/>
          </w:tcPr>
          <w:p w:rsidR="00061712" w:rsidRDefault="00061712">
            <w:pPr>
              <w:widowControl w:val="0"/>
              <w:spacing w:beforeLines="0" w:before="81" w:afterLines="0" w:after="81" w:line="240" w:lineRule="auto"/>
              <w:ind w:firstLine="0"/>
              <w:jc w:val="left"/>
              <w:rPr>
                <w:kern w:val="0"/>
                <w:sz w:val="21"/>
                <w:szCs w:val="21"/>
              </w:rPr>
            </w:pPr>
          </w:p>
        </w:tc>
      </w:tr>
      <w:tr w:rsidR="00061712">
        <w:trPr>
          <w:trHeight w:hRule="exact" w:val="680"/>
        </w:trPr>
        <w:tc>
          <w:tcPr>
            <w:tcW w:w="795"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449"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622" w:type="pct"/>
            <w:vAlign w:val="center"/>
          </w:tcPr>
          <w:p w:rsidR="00061712" w:rsidRDefault="00061712">
            <w:pPr>
              <w:widowControl w:val="0"/>
              <w:spacing w:beforeLines="0" w:before="81" w:afterLines="0" w:after="81" w:line="240" w:lineRule="auto"/>
              <w:ind w:firstLine="0"/>
              <w:jc w:val="center"/>
              <w:rPr>
                <w:kern w:val="0"/>
                <w:sz w:val="21"/>
                <w:szCs w:val="21"/>
              </w:rPr>
            </w:pPr>
          </w:p>
        </w:tc>
        <w:tc>
          <w:tcPr>
            <w:tcW w:w="622"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622"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1448"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442" w:type="pct"/>
            <w:vAlign w:val="center"/>
          </w:tcPr>
          <w:p w:rsidR="00061712" w:rsidRDefault="00061712">
            <w:pPr>
              <w:widowControl w:val="0"/>
              <w:spacing w:beforeLines="0" w:before="81" w:afterLines="0" w:after="81" w:line="240" w:lineRule="auto"/>
              <w:ind w:firstLine="0"/>
              <w:jc w:val="left"/>
              <w:rPr>
                <w:kern w:val="0"/>
                <w:sz w:val="21"/>
                <w:szCs w:val="21"/>
              </w:rPr>
            </w:pPr>
          </w:p>
        </w:tc>
      </w:tr>
      <w:tr w:rsidR="00061712">
        <w:trPr>
          <w:trHeight w:hRule="exact" w:val="680"/>
        </w:trPr>
        <w:tc>
          <w:tcPr>
            <w:tcW w:w="795"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449"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622" w:type="pct"/>
            <w:vAlign w:val="center"/>
          </w:tcPr>
          <w:p w:rsidR="00061712" w:rsidRDefault="00061712">
            <w:pPr>
              <w:widowControl w:val="0"/>
              <w:spacing w:beforeLines="0" w:before="81" w:afterLines="0" w:after="81" w:line="240" w:lineRule="auto"/>
              <w:ind w:firstLine="0"/>
              <w:jc w:val="center"/>
              <w:rPr>
                <w:kern w:val="0"/>
                <w:sz w:val="21"/>
                <w:szCs w:val="21"/>
              </w:rPr>
            </w:pPr>
          </w:p>
        </w:tc>
        <w:tc>
          <w:tcPr>
            <w:tcW w:w="622"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622"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1448"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442" w:type="pct"/>
            <w:vAlign w:val="center"/>
          </w:tcPr>
          <w:p w:rsidR="00061712" w:rsidRDefault="00061712">
            <w:pPr>
              <w:widowControl w:val="0"/>
              <w:spacing w:beforeLines="0" w:before="81" w:afterLines="0" w:after="81" w:line="240" w:lineRule="auto"/>
              <w:ind w:firstLine="0"/>
              <w:jc w:val="left"/>
              <w:rPr>
                <w:kern w:val="0"/>
                <w:sz w:val="21"/>
                <w:szCs w:val="21"/>
              </w:rPr>
            </w:pPr>
          </w:p>
        </w:tc>
      </w:tr>
      <w:tr w:rsidR="00061712">
        <w:trPr>
          <w:trHeight w:hRule="exact" w:val="680"/>
        </w:trPr>
        <w:tc>
          <w:tcPr>
            <w:tcW w:w="795"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449"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622" w:type="pct"/>
            <w:vAlign w:val="center"/>
          </w:tcPr>
          <w:p w:rsidR="00061712" w:rsidRDefault="00061712">
            <w:pPr>
              <w:widowControl w:val="0"/>
              <w:spacing w:beforeLines="0" w:before="81" w:afterLines="0" w:after="81" w:line="240" w:lineRule="auto"/>
              <w:ind w:firstLine="0"/>
              <w:jc w:val="center"/>
              <w:rPr>
                <w:kern w:val="0"/>
                <w:sz w:val="21"/>
                <w:szCs w:val="21"/>
              </w:rPr>
            </w:pPr>
          </w:p>
        </w:tc>
        <w:tc>
          <w:tcPr>
            <w:tcW w:w="622"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622"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1448" w:type="pct"/>
            <w:vAlign w:val="center"/>
          </w:tcPr>
          <w:p w:rsidR="00061712" w:rsidRDefault="00061712">
            <w:pPr>
              <w:widowControl w:val="0"/>
              <w:spacing w:beforeLines="0" w:before="81" w:afterLines="0" w:after="81" w:line="240" w:lineRule="auto"/>
              <w:ind w:firstLine="0"/>
              <w:jc w:val="left"/>
              <w:rPr>
                <w:kern w:val="0"/>
                <w:sz w:val="21"/>
                <w:szCs w:val="21"/>
              </w:rPr>
            </w:pPr>
          </w:p>
        </w:tc>
        <w:tc>
          <w:tcPr>
            <w:tcW w:w="442" w:type="pct"/>
            <w:vAlign w:val="center"/>
          </w:tcPr>
          <w:p w:rsidR="00061712" w:rsidRDefault="00061712">
            <w:pPr>
              <w:widowControl w:val="0"/>
              <w:spacing w:beforeLines="0" w:before="81" w:afterLines="0" w:after="81" w:line="240" w:lineRule="auto"/>
              <w:ind w:firstLine="0"/>
              <w:jc w:val="left"/>
              <w:rPr>
                <w:kern w:val="0"/>
                <w:sz w:val="21"/>
                <w:szCs w:val="21"/>
              </w:rPr>
            </w:pPr>
          </w:p>
        </w:tc>
      </w:tr>
    </w:tbl>
    <w:p w:rsidR="00061712" w:rsidRDefault="00950132">
      <w:pPr>
        <w:spacing w:before="81" w:after="81"/>
        <w:rPr>
          <w:rFonts w:cs="Times New Roman"/>
          <w:szCs w:val="22"/>
        </w:rPr>
      </w:pPr>
      <w:r>
        <w:rPr>
          <w:rFonts w:cs="Times New Roman" w:hint="eastAsia"/>
          <w:szCs w:val="22"/>
        </w:rPr>
        <w:t>注：</w:t>
      </w:r>
      <w:r>
        <w:rPr>
          <w:rFonts w:cs="Times New Roman" w:hint="eastAsia"/>
          <w:szCs w:val="22"/>
        </w:rPr>
        <w:t>1</w:t>
      </w:r>
      <w:r>
        <w:rPr>
          <w:rFonts w:cs="Times New Roman" w:hint="eastAsia"/>
          <w:szCs w:val="22"/>
        </w:rPr>
        <w:t>、重大事项所处阶段一般分为商议筹划，论证咨询，合同订立，公司内部的报告、传递、编制、决议等。</w:t>
      </w:r>
      <w:r>
        <w:rPr>
          <w:rFonts w:cs="Times New Roman" w:hint="eastAsia"/>
          <w:szCs w:val="22"/>
        </w:rPr>
        <w:t xml:space="preserve"> </w:t>
      </w:r>
    </w:p>
    <w:p w:rsidR="00061712" w:rsidRDefault="00950132">
      <w:pPr>
        <w:spacing w:before="81" w:after="81"/>
        <w:ind w:firstLineChars="400" w:firstLine="960"/>
      </w:pPr>
      <w:r>
        <w:rPr>
          <w:rFonts w:cs="Times New Roman" w:hint="eastAsia"/>
          <w:szCs w:val="22"/>
        </w:rPr>
        <w:t>2</w:t>
      </w:r>
      <w:r>
        <w:rPr>
          <w:rFonts w:cs="Times New Roman" w:hint="eastAsia"/>
          <w:szCs w:val="22"/>
        </w:rPr>
        <w:t>、重大事项进程备忘录涉及的相关人员应当在备忘录上签名确认。</w:t>
      </w:r>
    </w:p>
    <w:sectPr w:rsidR="00061712">
      <w:headerReference w:type="default" r:id="rId14"/>
      <w:footerReference w:type="default" r:id="rId15"/>
      <w:pgSz w:w="16838" w:h="11906" w:orient="landscape"/>
      <w:pgMar w:top="1800" w:right="1440" w:bottom="1800" w:left="1440" w:header="851" w:footer="992" w:gutter="0"/>
      <w:cols w:space="425"/>
      <w:docGrid w:type="lines"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626080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C05" w:rsidRDefault="00823C05" w:rsidP="00F30E9B">
      <w:pPr>
        <w:spacing w:before="60" w:after="60" w:line="240" w:lineRule="auto"/>
      </w:pPr>
      <w:r>
        <w:separator/>
      </w:r>
    </w:p>
  </w:endnote>
  <w:endnote w:type="continuationSeparator" w:id="0">
    <w:p w:rsidR="00823C05" w:rsidRDefault="00823C05" w:rsidP="00F30E9B">
      <w:pPr>
        <w:spacing w:before="60" w:after="6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正文 CS 字体)">
    <w:altName w:val="宋体"/>
    <w:charset w:val="86"/>
    <w:family w:val="roman"/>
    <w:pitch w:val="default"/>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a"/>
      </w:rPr>
      <w:id w:val="-1620899582"/>
    </w:sdtPr>
    <w:sdtEndPr>
      <w:rPr>
        <w:rStyle w:val="aa"/>
      </w:rPr>
    </w:sdtEndPr>
    <w:sdtContent>
      <w:p w:rsidR="00061712" w:rsidRDefault="00950132">
        <w:pPr>
          <w:pStyle w:val="a5"/>
          <w:framePr w:wrap="auto" w:vAnchor="text" w:hAnchor="margin" w:xAlign="center" w:y="1"/>
          <w:spacing w:before="60" w:after="60"/>
          <w:rPr>
            <w:rStyle w:val="aa"/>
          </w:rPr>
        </w:pPr>
        <w:r>
          <w:rPr>
            <w:rStyle w:val="aa"/>
          </w:rPr>
          <w:fldChar w:fldCharType="begin"/>
        </w:r>
        <w:r>
          <w:rPr>
            <w:rStyle w:val="aa"/>
          </w:rPr>
          <w:instrText xml:space="preserve"> PAGE </w:instrText>
        </w:r>
        <w:r>
          <w:rPr>
            <w:rStyle w:val="aa"/>
          </w:rPr>
          <w:fldChar w:fldCharType="end"/>
        </w:r>
      </w:p>
    </w:sdtContent>
  </w:sdt>
  <w:p w:rsidR="00061712" w:rsidRDefault="00061712">
    <w:pPr>
      <w:pStyle w:val="a5"/>
      <w:spacing w:before="60" w:after="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a"/>
      </w:rPr>
      <w:id w:val="-594249165"/>
    </w:sdtPr>
    <w:sdtEndPr>
      <w:rPr>
        <w:rStyle w:val="aa"/>
      </w:rPr>
    </w:sdtEndPr>
    <w:sdtContent>
      <w:p w:rsidR="00061712" w:rsidRDefault="00950132">
        <w:pPr>
          <w:pStyle w:val="a5"/>
          <w:framePr w:wrap="auto" w:vAnchor="text" w:hAnchor="margin" w:xAlign="center" w:y="1"/>
          <w:spacing w:before="60" w:after="60"/>
          <w:rPr>
            <w:rStyle w:val="aa"/>
          </w:rPr>
        </w:pPr>
        <w:r>
          <w:rPr>
            <w:rStyle w:val="aa"/>
          </w:rPr>
          <w:fldChar w:fldCharType="begin"/>
        </w:r>
        <w:r>
          <w:rPr>
            <w:rStyle w:val="aa"/>
          </w:rPr>
          <w:instrText xml:space="preserve"> PAGE </w:instrText>
        </w:r>
        <w:r>
          <w:rPr>
            <w:rStyle w:val="aa"/>
          </w:rPr>
          <w:fldChar w:fldCharType="separate"/>
        </w:r>
        <w:r w:rsidR="00CF24EE">
          <w:rPr>
            <w:rStyle w:val="aa"/>
            <w:noProof/>
          </w:rPr>
          <w:t>8</w:t>
        </w:r>
        <w:r>
          <w:rPr>
            <w:rStyle w:val="aa"/>
          </w:rPr>
          <w:fldChar w:fldCharType="end"/>
        </w:r>
      </w:p>
    </w:sdtContent>
  </w:sdt>
  <w:p w:rsidR="00061712" w:rsidRDefault="00061712">
    <w:pPr>
      <w:pStyle w:val="a5"/>
      <w:spacing w:before="60" w:after="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712" w:rsidRDefault="00061712">
    <w:pPr>
      <w:pStyle w:val="a5"/>
      <w:spacing w:before="60" w:after="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3357757"/>
    </w:sdtPr>
    <w:sdtEndPr/>
    <w:sdtContent>
      <w:p w:rsidR="00061712" w:rsidRDefault="00950132">
        <w:pPr>
          <w:pStyle w:val="a5"/>
          <w:spacing w:before="60" w:after="60"/>
          <w:ind w:firstLine="360"/>
          <w:jc w:val="center"/>
        </w:pPr>
        <w:r>
          <w:fldChar w:fldCharType="begin"/>
        </w:r>
        <w:r>
          <w:instrText>PAGE   \* MERGEFORMAT</w:instrText>
        </w:r>
        <w:r>
          <w:fldChar w:fldCharType="separate"/>
        </w:r>
        <w:r w:rsidR="00CF24EE" w:rsidRPr="00CF24EE">
          <w:rPr>
            <w:noProof/>
            <w:lang w:val="zh-CN"/>
          </w:rPr>
          <w:t>10</w:t>
        </w:r>
        <w:r>
          <w:fldChar w:fldCharType="end"/>
        </w:r>
      </w:p>
    </w:sdtContent>
  </w:sdt>
  <w:p w:rsidR="00061712" w:rsidRDefault="00061712">
    <w:pPr>
      <w:pStyle w:val="a5"/>
      <w:spacing w:before="60" w:after="6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C05" w:rsidRDefault="00823C05" w:rsidP="00F30E9B">
      <w:pPr>
        <w:spacing w:before="60" w:after="60"/>
      </w:pPr>
      <w:r>
        <w:separator/>
      </w:r>
    </w:p>
  </w:footnote>
  <w:footnote w:type="continuationSeparator" w:id="0">
    <w:p w:rsidR="00823C05" w:rsidRDefault="00823C05" w:rsidP="00F30E9B">
      <w:pPr>
        <w:spacing w:before="60" w:after="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712" w:rsidRDefault="00061712">
    <w:pPr>
      <w:pStyle w:val="a6"/>
      <w:spacing w:before="60" w:after="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E9B" w:rsidRDefault="00F30E9B" w:rsidP="00F30E9B">
    <w:pPr>
      <w:spacing w:before="60" w:after="60"/>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712" w:rsidRDefault="00061712">
    <w:pPr>
      <w:pStyle w:val="a6"/>
      <w:spacing w:before="60" w:after="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712" w:rsidRDefault="00061712" w:rsidP="00F30E9B">
    <w:pPr>
      <w:spacing w:before="60" w:after="60" w:line="240" w:lineRule="auto"/>
      <w:ind w:firstLine="0"/>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4250EA"/>
    <w:multiLevelType w:val="multilevel"/>
    <w:tmpl w:val="364250EA"/>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秦川">
    <w15:presenceInfo w15:providerId="WPS Office" w15:userId="11764544441"/>
  </w15:person>
  <w15:person w15:author="JT">
    <w15:presenceInfo w15:providerId="None" w15:userId="J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F02"/>
    <w:rsid w:val="00015BE7"/>
    <w:rsid w:val="00020AD5"/>
    <w:rsid w:val="00022E64"/>
    <w:rsid w:val="0004586B"/>
    <w:rsid w:val="00061712"/>
    <w:rsid w:val="00087E92"/>
    <w:rsid w:val="0009708E"/>
    <w:rsid w:val="000B31FC"/>
    <w:rsid w:val="000C67A0"/>
    <w:rsid w:val="000D60DD"/>
    <w:rsid w:val="000D75D4"/>
    <w:rsid w:val="00113AB6"/>
    <w:rsid w:val="00142224"/>
    <w:rsid w:val="00166E4D"/>
    <w:rsid w:val="0019278A"/>
    <w:rsid w:val="001B0ADC"/>
    <w:rsid w:val="001B468E"/>
    <w:rsid w:val="001E5848"/>
    <w:rsid w:val="001F41F6"/>
    <w:rsid w:val="00210271"/>
    <w:rsid w:val="002113C0"/>
    <w:rsid w:val="00214810"/>
    <w:rsid w:val="00216B87"/>
    <w:rsid w:val="00227007"/>
    <w:rsid w:val="00227515"/>
    <w:rsid w:val="00227C39"/>
    <w:rsid w:val="00241346"/>
    <w:rsid w:val="002515BC"/>
    <w:rsid w:val="00260050"/>
    <w:rsid w:val="00277379"/>
    <w:rsid w:val="00281CDF"/>
    <w:rsid w:val="0028379A"/>
    <w:rsid w:val="00285A6E"/>
    <w:rsid w:val="00294287"/>
    <w:rsid w:val="002A0049"/>
    <w:rsid w:val="002C1CDA"/>
    <w:rsid w:val="002D368C"/>
    <w:rsid w:val="002E67E3"/>
    <w:rsid w:val="002E6CCA"/>
    <w:rsid w:val="00313B2C"/>
    <w:rsid w:val="00322960"/>
    <w:rsid w:val="003252A5"/>
    <w:rsid w:val="003329DB"/>
    <w:rsid w:val="003375AF"/>
    <w:rsid w:val="00342272"/>
    <w:rsid w:val="003508CF"/>
    <w:rsid w:val="00392B2B"/>
    <w:rsid w:val="003A576B"/>
    <w:rsid w:val="003B0E80"/>
    <w:rsid w:val="003C36A1"/>
    <w:rsid w:val="003D10B4"/>
    <w:rsid w:val="003D34CA"/>
    <w:rsid w:val="0041275E"/>
    <w:rsid w:val="00420C4B"/>
    <w:rsid w:val="004518B3"/>
    <w:rsid w:val="0045553E"/>
    <w:rsid w:val="00466726"/>
    <w:rsid w:val="00467C54"/>
    <w:rsid w:val="004B37F5"/>
    <w:rsid w:val="004D3446"/>
    <w:rsid w:val="004E7501"/>
    <w:rsid w:val="004F6F68"/>
    <w:rsid w:val="00516FD8"/>
    <w:rsid w:val="00531BD8"/>
    <w:rsid w:val="0054163A"/>
    <w:rsid w:val="00542040"/>
    <w:rsid w:val="00590BE3"/>
    <w:rsid w:val="00594CE5"/>
    <w:rsid w:val="005B7EB5"/>
    <w:rsid w:val="005E0139"/>
    <w:rsid w:val="005F063D"/>
    <w:rsid w:val="005F2623"/>
    <w:rsid w:val="00615730"/>
    <w:rsid w:val="00616DC1"/>
    <w:rsid w:val="00625DA8"/>
    <w:rsid w:val="00645112"/>
    <w:rsid w:val="00654B48"/>
    <w:rsid w:val="00677427"/>
    <w:rsid w:val="00695AF6"/>
    <w:rsid w:val="006B2613"/>
    <w:rsid w:val="006E2334"/>
    <w:rsid w:val="0071009A"/>
    <w:rsid w:val="007104B6"/>
    <w:rsid w:val="00715CDD"/>
    <w:rsid w:val="007206E1"/>
    <w:rsid w:val="00730A0C"/>
    <w:rsid w:val="00736926"/>
    <w:rsid w:val="00750892"/>
    <w:rsid w:val="007706E0"/>
    <w:rsid w:val="007975B6"/>
    <w:rsid w:val="0080211E"/>
    <w:rsid w:val="00823C05"/>
    <w:rsid w:val="00862032"/>
    <w:rsid w:val="00874F08"/>
    <w:rsid w:val="008D5773"/>
    <w:rsid w:val="008E5462"/>
    <w:rsid w:val="00906824"/>
    <w:rsid w:val="009159BB"/>
    <w:rsid w:val="00923084"/>
    <w:rsid w:val="00933C25"/>
    <w:rsid w:val="00934BD2"/>
    <w:rsid w:val="00950132"/>
    <w:rsid w:val="00997770"/>
    <w:rsid w:val="009C1722"/>
    <w:rsid w:val="009D23A6"/>
    <w:rsid w:val="009D3D82"/>
    <w:rsid w:val="009E2350"/>
    <w:rsid w:val="00A01A45"/>
    <w:rsid w:val="00A23FDB"/>
    <w:rsid w:val="00A40A37"/>
    <w:rsid w:val="00A5643F"/>
    <w:rsid w:val="00A67A9D"/>
    <w:rsid w:val="00A836E3"/>
    <w:rsid w:val="00A84F02"/>
    <w:rsid w:val="00A861EE"/>
    <w:rsid w:val="00AB4805"/>
    <w:rsid w:val="00AC0432"/>
    <w:rsid w:val="00AC4583"/>
    <w:rsid w:val="00B33275"/>
    <w:rsid w:val="00B3363E"/>
    <w:rsid w:val="00B44084"/>
    <w:rsid w:val="00B9247D"/>
    <w:rsid w:val="00BA5CD0"/>
    <w:rsid w:val="00BB5E84"/>
    <w:rsid w:val="00BD75BE"/>
    <w:rsid w:val="00C374ED"/>
    <w:rsid w:val="00C70AFD"/>
    <w:rsid w:val="00C83AAE"/>
    <w:rsid w:val="00CA2D36"/>
    <w:rsid w:val="00CA6398"/>
    <w:rsid w:val="00CB128C"/>
    <w:rsid w:val="00CD2237"/>
    <w:rsid w:val="00CE5A05"/>
    <w:rsid w:val="00CF24EE"/>
    <w:rsid w:val="00D06AF1"/>
    <w:rsid w:val="00D3346A"/>
    <w:rsid w:val="00D510C3"/>
    <w:rsid w:val="00D528B5"/>
    <w:rsid w:val="00D90237"/>
    <w:rsid w:val="00E14AD9"/>
    <w:rsid w:val="00E17FA6"/>
    <w:rsid w:val="00E6258A"/>
    <w:rsid w:val="00E77869"/>
    <w:rsid w:val="00ED2EF1"/>
    <w:rsid w:val="00F008FD"/>
    <w:rsid w:val="00F27A9D"/>
    <w:rsid w:val="00F30E9B"/>
    <w:rsid w:val="00F55575"/>
    <w:rsid w:val="00F60EC2"/>
    <w:rsid w:val="00F713F3"/>
    <w:rsid w:val="00F74772"/>
    <w:rsid w:val="00F91C69"/>
    <w:rsid w:val="00F93DC6"/>
    <w:rsid w:val="00FC30DE"/>
    <w:rsid w:val="06C52DFC"/>
    <w:rsid w:val="0B5E5DFE"/>
    <w:rsid w:val="1C63021F"/>
    <w:rsid w:val="25217E5C"/>
    <w:rsid w:val="25A356AA"/>
    <w:rsid w:val="276B56D3"/>
    <w:rsid w:val="305B02AF"/>
    <w:rsid w:val="34DD5737"/>
    <w:rsid w:val="41EC520B"/>
    <w:rsid w:val="4ADD7DE7"/>
    <w:rsid w:val="4F365D17"/>
    <w:rsid w:val="510065DD"/>
    <w:rsid w:val="61DE64C6"/>
    <w:rsid w:val="6888718C"/>
    <w:rsid w:val="784964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正文 CS 字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page number"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Lines="25" w:before="25" w:afterLines="25" w:after="25" w:line="360" w:lineRule="auto"/>
      <w:ind w:firstLine="482"/>
      <w:jc w:val="both"/>
    </w:pPr>
    <w:rPr>
      <w:kern w:val="2"/>
      <w:sz w:val="24"/>
      <w:szCs w:val="24"/>
    </w:rPr>
  </w:style>
  <w:style w:type="paragraph" w:styleId="1">
    <w:name w:val="heading 1"/>
    <w:basedOn w:val="a"/>
    <w:next w:val="a"/>
    <w:link w:val="1Char"/>
    <w:qFormat/>
    <w:pPr>
      <w:widowControl w:val="0"/>
      <w:spacing w:beforeLines="50" w:before="156" w:afterLines="0" w:after="0"/>
      <w:ind w:firstLine="0"/>
      <w:jc w:val="center"/>
      <w:outlineLvl w:val="0"/>
    </w:pPr>
    <w:rPr>
      <w:rFonts w:ascii="宋体" w:hAnsi="宋体" w:cs="Times New Roman"/>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pPr>
      <w:spacing w:before="0" w:after="0" w:line="240" w:lineRule="auto"/>
    </w:pPr>
    <w:rPr>
      <w:sz w:val="18"/>
      <w:szCs w:val="18"/>
    </w:rPr>
  </w:style>
  <w:style w:type="paragraph" w:styleId="a5">
    <w:name w:val="footer"/>
    <w:basedOn w:val="a"/>
    <w:link w:val="Char1"/>
    <w:uiPriority w:val="99"/>
    <w:unhideWhenUsed/>
    <w:qFormat/>
    <w:pPr>
      <w:tabs>
        <w:tab w:val="center" w:pos="4153"/>
        <w:tab w:val="right" w:pos="8306"/>
      </w:tabs>
      <w:snapToGrid w:val="0"/>
      <w:spacing w:line="240" w:lineRule="auto"/>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7">
    <w:name w:val="Normal (Web)"/>
    <w:basedOn w:val="a"/>
    <w:uiPriority w:val="99"/>
    <w:semiHidden/>
    <w:unhideWhenUsed/>
    <w:qFormat/>
    <w:pPr>
      <w:spacing w:beforeLines="0" w:before="100" w:beforeAutospacing="1" w:afterLines="0" w:after="100" w:afterAutospacing="1" w:line="240" w:lineRule="auto"/>
      <w:ind w:firstLine="0"/>
      <w:jc w:val="left"/>
    </w:pPr>
    <w:rPr>
      <w:rFonts w:ascii="宋体" w:hAnsi="宋体" w:cs="宋体"/>
      <w:kern w:val="0"/>
    </w:rPr>
  </w:style>
  <w:style w:type="paragraph" w:styleId="a8">
    <w:name w:val="annotation subject"/>
    <w:basedOn w:val="a3"/>
    <w:next w:val="a3"/>
    <w:link w:val="Char3"/>
    <w:uiPriority w:val="99"/>
    <w:semiHidden/>
    <w:unhideWhenUsed/>
    <w:qFormat/>
    <w:rPr>
      <w:b/>
      <w:bCs/>
    </w:rPr>
  </w:style>
  <w:style w:type="table" w:styleId="a9">
    <w:name w:val="Table Grid"/>
    <w:basedOn w:val="a1"/>
    <w:uiPriority w:val="39"/>
    <w:qFormat/>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0"/>
    <w:uiPriority w:val="99"/>
    <w:semiHidden/>
    <w:unhideWhenUsed/>
    <w:qFormat/>
  </w:style>
  <w:style w:type="character" w:styleId="ab">
    <w:name w:val="annotation reference"/>
    <w:basedOn w:val="a0"/>
    <w:uiPriority w:val="99"/>
    <w:semiHidden/>
    <w:unhideWhenUsed/>
    <w:qFormat/>
    <w:rPr>
      <w:sz w:val="21"/>
      <w:szCs w:val="21"/>
    </w:rPr>
  </w:style>
  <w:style w:type="character" w:customStyle="1" w:styleId="Char1">
    <w:name w:val="页脚 Char"/>
    <w:basedOn w:val="a0"/>
    <w:link w:val="a5"/>
    <w:uiPriority w:val="99"/>
    <w:qFormat/>
    <w:rPr>
      <w:sz w:val="18"/>
      <w:szCs w:val="18"/>
    </w:rPr>
  </w:style>
  <w:style w:type="paragraph" w:customStyle="1" w:styleId="10">
    <w:name w:val="修订1"/>
    <w:hidden/>
    <w:uiPriority w:val="99"/>
    <w:semiHidden/>
    <w:qFormat/>
    <w:rPr>
      <w:kern w:val="2"/>
      <w:sz w:val="24"/>
      <w:szCs w:val="24"/>
    </w:rPr>
  </w:style>
  <w:style w:type="paragraph" w:styleId="ac">
    <w:name w:val="List Paragraph"/>
    <w:basedOn w:val="a"/>
    <w:uiPriority w:val="34"/>
    <w:qFormat/>
    <w:pPr>
      <w:ind w:firstLineChars="200" w:firstLine="420"/>
    </w:pPr>
  </w:style>
  <w:style w:type="character" w:customStyle="1" w:styleId="Char0">
    <w:name w:val="批注框文本 Char"/>
    <w:basedOn w:val="a0"/>
    <w:link w:val="a4"/>
    <w:uiPriority w:val="99"/>
    <w:semiHidden/>
    <w:qFormat/>
    <w:rPr>
      <w:sz w:val="18"/>
      <w:szCs w:val="18"/>
    </w:rPr>
  </w:style>
  <w:style w:type="character" w:customStyle="1" w:styleId="Char2">
    <w:name w:val="页眉 Char"/>
    <w:basedOn w:val="a0"/>
    <w:link w:val="a6"/>
    <w:uiPriority w:val="99"/>
    <w:qFormat/>
    <w:rPr>
      <w:sz w:val="18"/>
      <w:szCs w:val="18"/>
    </w:rPr>
  </w:style>
  <w:style w:type="character" w:customStyle="1" w:styleId="1Char">
    <w:name w:val="标题 1 Char"/>
    <w:basedOn w:val="a0"/>
    <w:link w:val="1"/>
    <w:qFormat/>
    <w:rPr>
      <w:rFonts w:ascii="宋体" w:hAnsi="宋体" w:cs="Times New Roman"/>
      <w:b/>
    </w:rPr>
  </w:style>
  <w:style w:type="character" w:customStyle="1" w:styleId="Char">
    <w:name w:val="批注文字 Char"/>
    <w:basedOn w:val="a0"/>
    <w:link w:val="a3"/>
    <w:uiPriority w:val="99"/>
    <w:semiHidden/>
    <w:qFormat/>
  </w:style>
  <w:style w:type="character" w:customStyle="1" w:styleId="Char3">
    <w:name w:val="批注主题 Char"/>
    <w:basedOn w:val="Char"/>
    <w:link w:val="a8"/>
    <w:uiPriority w:val="99"/>
    <w:semiHidden/>
    <w:qFormat/>
    <w:rPr>
      <w:b/>
      <w:bCs/>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ad">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e">
    <w:name w:val="制度副标题"/>
    <w:basedOn w:val="a"/>
    <w:qFormat/>
    <w:pPr>
      <w:kinsoku w:val="0"/>
      <w:autoSpaceDE w:val="0"/>
      <w:autoSpaceDN w:val="0"/>
      <w:adjustRightInd w:val="0"/>
      <w:snapToGrid w:val="0"/>
      <w:spacing w:line="240" w:lineRule="auto"/>
      <w:ind w:firstLine="0"/>
      <w:jc w:val="center"/>
      <w:textAlignment w:val="baseline"/>
      <w:outlineLvl w:val="0"/>
    </w:pPr>
    <w:rPr>
      <w:rFonts w:cs="宋体" w:hint="eastAsia"/>
      <w:b/>
      <w:bCs/>
      <w:snapToGrid w:val="0"/>
      <w:color w:val="000000"/>
      <w:spacing w:val="-4"/>
    </w:rPr>
  </w:style>
  <w:style w:type="character" w:customStyle="1" w:styleId="Char4">
    <w:name w:val="正文加粗 Char"/>
    <w:link w:val="af"/>
    <w:qFormat/>
    <w:rPr>
      <w:b/>
      <w:bCs/>
    </w:rPr>
  </w:style>
  <w:style w:type="paragraph" w:customStyle="1" w:styleId="af">
    <w:name w:val="正文加粗"/>
    <w:basedOn w:val="a"/>
    <w:link w:val="Char4"/>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正文 CS 字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page number"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Lines="25" w:before="25" w:afterLines="25" w:after="25" w:line="360" w:lineRule="auto"/>
      <w:ind w:firstLine="482"/>
      <w:jc w:val="both"/>
    </w:pPr>
    <w:rPr>
      <w:kern w:val="2"/>
      <w:sz w:val="24"/>
      <w:szCs w:val="24"/>
    </w:rPr>
  </w:style>
  <w:style w:type="paragraph" w:styleId="1">
    <w:name w:val="heading 1"/>
    <w:basedOn w:val="a"/>
    <w:next w:val="a"/>
    <w:link w:val="1Char"/>
    <w:qFormat/>
    <w:pPr>
      <w:widowControl w:val="0"/>
      <w:spacing w:beforeLines="50" w:before="156" w:afterLines="0" w:after="0"/>
      <w:ind w:firstLine="0"/>
      <w:jc w:val="center"/>
      <w:outlineLvl w:val="0"/>
    </w:pPr>
    <w:rPr>
      <w:rFonts w:ascii="宋体" w:hAnsi="宋体" w:cs="Times New Roman"/>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pPr>
      <w:spacing w:before="0" w:after="0" w:line="240" w:lineRule="auto"/>
    </w:pPr>
    <w:rPr>
      <w:sz w:val="18"/>
      <w:szCs w:val="18"/>
    </w:rPr>
  </w:style>
  <w:style w:type="paragraph" w:styleId="a5">
    <w:name w:val="footer"/>
    <w:basedOn w:val="a"/>
    <w:link w:val="Char1"/>
    <w:uiPriority w:val="99"/>
    <w:unhideWhenUsed/>
    <w:qFormat/>
    <w:pPr>
      <w:tabs>
        <w:tab w:val="center" w:pos="4153"/>
        <w:tab w:val="right" w:pos="8306"/>
      </w:tabs>
      <w:snapToGrid w:val="0"/>
      <w:spacing w:line="240" w:lineRule="auto"/>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7">
    <w:name w:val="Normal (Web)"/>
    <w:basedOn w:val="a"/>
    <w:uiPriority w:val="99"/>
    <w:semiHidden/>
    <w:unhideWhenUsed/>
    <w:qFormat/>
    <w:pPr>
      <w:spacing w:beforeLines="0" w:before="100" w:beforeAutospacing="1" w:afterLines="0" w:after="100" w:afterAutospacing="1" w:line="240" w:lineRule="auto"/>
      <w:ind w:firstLine="0"/>
      <w:jc w:val="left"/>
    </w:pPr>
    <w:rPr>
      <w:rFonts w:ascii="宋体" w:hAnsi="宋体" w:cs="宋体"/>
      <w:kern w:val="0"/>
    </w:rPr>
  </w:style>
  <w:style w:type="paragraph" w:styleId="a8">
    <w:name w:val="annotation subject"/>
    <w:basedOn w:val="a3"/>
    <w:next w:val="a3"/>
    <w:link w:val="Char3"/>
    <w:uiPriority w:val="99"/>
    <w:semiHidden/>
    <w:unhideWhenUsed/>
    <w:qFormat/>
    <w:rPr>
      <w:b/>
      <w:bCs/>
    </w:rPr>
  </w:style>
  <w:style w:type="table" w:styleId="a9">
    <w:name w:val="Table Grid"/>
    <w:basedOn w:val="a1"/>
    <w:uiPriority w:val="39"/>
    <w:qFormat/>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0"/>
    <w:uiPriority w:val="99"/>
    <w:semiHidden/>
    <w:unhideWhenUsed/>
    <w:qFormat/>
  </w:style>
  <w:style w:type="character" w:styleId="ab">
    <w:name w:val="annotation reference"/>
    <w:basedOn w:val="a0"/>
    <w:uiPriority w:val="99"/>
    <w:semiHidden/>
    <w:unhideWhenUsed/>
    <w:qFormat/>
    <w:rPr>
      <w:sz w:val="21"/>
      <w:szCs w:val="21"/>
    </w:rPr>
  </w:style>
  <w:style w:type="character" w:customStyle="1" w:styleId="Char1">
    <w:name w:val="页脚 Char"/>
    <w:basedOn w:val="a0"/>
    <w:link w:val="a5"/>
    <w:uiPriority w:val="99"/>
    <w:qFormat/>
    <w:rPr>
      <w:sz w:val="18"/>
      <w:szCs w:val="18"/>
    </w:rPr>
  </w:style>
  <w:style w:type="paragraph" w:customStyle="1" w:styleId="10">
    <w:name w:val="修订1"/>
    <w:hidden/>
    <w:uiPriority w:val="99"/>
    <w:semiHidden/>
    <w:qFormat/>
    <w:rPr>
      <w:kern w:val="2"/>
      <w:sz w:val="24"/>
      <w:szCs w:val="24"/>
    </w:rPr>
  </w:style>
  <w:style w:type="paragraph" w:styleId="ac">
    <w:name w:val="List Paragraph"/>
    <w:basedOn w:val="a"/>
    <w:uiPriority w:val="34"/>
    <w:qFormat/>
    <w:pPr>
      <w:ind w:firstLineChars="200" w:firstLine="420"/>
    </w:pPr>
  </w:style>
  <w:style w:type="character" w:customStyle="1" w:styleId="Char0">
    <w:name w:val="批注框文本 Char"/>
    <w:basedOn w:val="a0"/>
    <w:link w:val="a4"/>
    <w:uiPriority w:val="99"/>
    <w:semiHidden/>
    <w:qFormat/>
    <w:rPr>
      <w:sz w:val="18"/>
      <w:szCs w:val="18"/>
    </w:rPr>
  </w:style>
  <w:style w:type="character" w:customStyle="1" w:styleId="Char2">
    <w:name w:val="页眉 Char"/>
    <w:basedOn w:val="a0"/>
    <w:link w:val="a6"/>
    <w:uiPriority w:val="99"/>
    <w:qFormat/>
    <w:rPr>
      <w:sz w:val="18"/>
      <w:szCs w:val="18"/>
    </w:rPr>
  </w:style>
  <w:style w:type="character" w:customStyle="1" w:styleId="1Char">
    <w:name w:val="标题 1 Char"/>
    <w:basedOn w:val="a0"/>
    <w:link w:val="1"/>
    <w:qFormat/>
    <w:rPr>
      <w:rFonts w:ascii="宋体" w:hAnsi="宋体" w:cs="Times New Roman"/>
      <w:b/>
    </w:rPr>
  </w:style>
  <w:style w:type="character" w:customStyle="1" w:styleId="Char">
    <w:name w:val="批注文字 Char"/>
    <w:basedOn w:val="a0"/>
    <w:link w:val="a3"/>
    <w:uiPriority w:val="99"/>
    <w:semiHidden/>
    <w:qFormat/>
  </w:style>
  <w:style w:type="character" w:customStyle="1" w:styleId="Char3">
    <w:name w:val="批注主题 Char"/>
    <w:basedOn w:val="Char"/>
    <w:link w:val="a8"/>
    <w:uiPriority w:val="99"/>
    <w:semiHidden/>
    <w:qFormat/>
    <w:rPr>
      <w:b/>
      <w:bCs/>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ad">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e">
    <w:name w:val="制度副标题"/>
    <w:basedOn w:val="a"/>
    <w:qFormat/>
    <w:pPr>
      <w:kinsoku w:val="0"/>
      <w:autoSpaceDE w:val="0"/>
      <w:autoSpaceDN w:val="0"/>
      <w:adjustRightInd w:val="0"/>
      <w:snapToGrid w:val="0"/>
      <w:spacing w:line="240" w:lineRule="auto"/>
      <w:ind w:firstLine="0"/>
      <w:jc w:val="center"/>
      <w:textAlignment w:val="baseline"/>
      <w:outlineLvl w:val="0"/>
    </w:pPr>
    <w:rPr>
      <w:rFonts w:cs="宋体" w:hint="eastAsia"/>
      <w:b/>
      <w:bCs/>
      <w:snapToGrid w:val="0"/>
      <w:color w:val="000000"/>
      <w:spacing w:val="-4"/>
    </w:rPr>
  </w:style>
  <w:style w:type="character" w:customStyle="1" w:styleId="Char4">
    <w:name w:val="正文加粗 Char"/>
    <w:link w:val="af"/>
    <w:qFormat/>
    <w:rPr>
      <w:b/>
      <w:bCs/>
    </w:rPr>
  </w:style>
  <w:style w:type="paragraph" w:customStyle="1" w:styleId="af">
    <w:name w:val="正文加粗"/>
    <w:basedOn w:val="a"/>
    <w:link w:val="Char4"/>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968</Words>
  <Characters>5522</Characters>
  <Application>Microsoft Office Word</Application>
  <DocSecurity>0</DocSecurity>
  <Lines>46</Lines>
  <Paragraphs>12</Paragraphs>
  <ScaleCrop>false</ScaleCrop>
  <Company/>
  <LinksUpToDate>false</LinksUpToDate>
  <CharactersWithSpaces>6478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c:creator>
  <cp:lastModifiedBy>administrator1</cp:lastModifiedBy>
  <cp:revision>7</cp:revision>
  <dcterms:created xsi:type="dcterms:W3CDTF">2025-11-20T09:21:00Z</dcterms:created>
  <dcterms:modified xsi:type="dcterms:W3CDTF">2025-11-27T09:55:00Z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eyJoZGlkIjoiNGQyYzExN2JlYTgzZTg5ZjdkMWRlZmQyNjJiMDkxY2MiLCJ1c2VySWQiOiIxNzI5NTUxMDk5In0=</vt:lpwstr>
  </property>
  <property fmtid="{D5CDD505-2E9C-101B-9397-08002B2CF9AE}" pid="3" name="KSOProductBuildVer">
    <vt:lpwstr>2052-12.1.0.23542</vt:lpwstr>
  </property>
  <property fmtid="{D5CDD505-2E9C-101B-9397-08002B2CF9AE}" pid="4" name="ICV">
    <vt:lpwstr>0D30BCEF29104C58B44B15EA1D2D0506_12</vt:lpwstr>
  </property>
</Properties>
</file>